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8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c4165635a41041587b6ddbd657e3e7b1569c11"/>
    <w:p>
      <w:pPr>
        <w:pStyle w:val="Heading2"/>
      </w:pPr>
      <w:r>
        <w:t xml:space="preserve">Activity 2: Drink Mix on a Double Number Line</w:t>
      </w:r>
    </w:p>
    <w:bookmarkEnd w:id="20"/>
    <w:p>
      <w:pPr>
        <w:pStyle w:val="FirstParagraph"/>
      </w:pPr>
      <w:r>
        <w:t xml:space="preserve">The other day, we made drink mixtures by mixing 4 teaspoons of powdered drink mix for every cup of water. Here are two ways to represent multiple batches of this recipe:</w:t>
      </w:r>
    </w:p>
    <w:p>
      <w:pPr>
        <w:pStyle w:val="BodyText"/>
      </w:pPr>
      <w:r>
        <w:drawing>
          <wp:inline>
            <wp:extent cx="4416032" cy="1039785"/>
            <wp:effectExtent b="0" l="0" r="0" t="0"/>
            <wp:docPr descr="A discrete diagram. " title="" id="22" name="Picture"/>
            <a:graphic>
              <a:graphicData uri="http://schemas.openxmlformats.org/drawingml/2006/picture">
                <pic:pic>
                  <pic:nvPicPr>
                    <pic:cNvPr descr="/app/tmp/embedder-1683227596.679945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32" cy="10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46020" cy="1336430"/>
            <wp:effectExtent b="0" l="0" r="0" t="0"/>
            <wp:docPr descr="A double number line. Salt, in teaspoons. Water, in cups. " title="" id="25" name="Picture"/>
            <a:graphic>
              <a:graphicData uri="http://schemas.openxmlformats.org/drawingml/2006/picture">
                <pic:pic>
                  <pic:nvPicPr>
                    <pic:cNvPr descr="/app/tmp/embedder-1683227596.753296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133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How can we tell that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12</m:t>
        </m:r>
        <m:r>
          <m:rPr>
            <m:sty m:val="p"/>
          </m:rPr>
          <m:t>:</m:t>
        </m:r>
        <m:r>
          <m:t>3</m:t>
        </m:r>
      </m:oMath>
      <w:r>
        <w:t xml:space="preserve"> </w:t>
      </w:r>
      <w:r>
        <w:t xml:space="preserve">are equivalent ratios?</w:t>
      </w:r>
    </w:p>
    <w:p>
      <w:pPr>
        <w:numPr>
          <w:ilvl w:val="0"/>
          <w:numId w:val="1001"/>
        </w:numPr>
        <w:pStyle w:val="Compact"/>
      </w:pPr>
      <w:r>
        <w:t xml:space="preserve">How are these representations the same? How are these representations different?</w:t>
      </w:r>
    </w:p>
    <w:p>
      <w:pPr>
        <w:numPr>
          <w:ilvl w:val="0"/>
          <w:numId w:val="1001"/>
        </w:numPr>
        <w:pStyle w:val="Compact"/>
      </w:pPr>
      <w:r>
        <w:t xml:space="preserve">How many teaspoons of drink mix should be used with 3 cups of water?</w:t>
      </w:r>
    </w:p>
    <w:p>
      <w:pPr>
        <w:numPr>
          <w:ilvl w:val="0"/>
          <w:numId w:val="1001"/>
        </w:numPr>
        <w:pStyle w:val="Compact"/>
      </w:pPr>
      <w:r>
        <w:t xml:space="preserve">How many cups of water should be used with 16 teaspoons of drink mix?</w:t>
      </w:r>
    </w:p>
    <w:p>
      <w:pPr>
        <w:numPr>
          <w:ilvl w:val="0"/>
          <w:numId w:val="1001"/>
        </w:numPr>
        <w:pStyle w:val="Compact"/>
      </w:pPr>
      <w:r>
        <w:t xml:space="preserve">What numbers should go in the empty boxes on the</w:t>
      </w:r>
      <w:r>
        <w:t xml:space="preserve"> </w:t>
      </w:r>
      <w:r>
        <w:rPr>
          <w:bCs/>
          <w:b/>
        </w:rPr>
        <w:t xml:space="preserve">double number line diagram</w:t>
      </w:r>
      <w:r>
        <w:t xml:space="preserve">? What do these numbers mean?</w:t>
      </w:r>
    </w:p>
    <w:bookmarkStart w:id="27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Recall that a </w:t>
      </w:r>
      <w:r>
        <w:rPr>
          <w:iCs/>
          <w:i/>
        </w:rPr>
        <w:t xml:space="preserve">perfect square</w:t>
      </w:r>
      <w:r>
        <w:t xml:space="preserve"> </w:t>
      </w:r>
      <w:r>
        <w:t xml:space="preserve">is a number of objects that can be arranged into a square. For example, 9 is a perfect square because 9 objects can be arranged into 3 rows of 3. 16 is also a perfect square, because 16 objects can be arranged into 4 rows of 4. In contrast, 12 is not a perfect square because you can’t arrange 12 objects into a square.</w:t>
      </w:r>
    </w:p>
    <w:p>
      <w:pPr>
        <w:numPr>
          <w:ilvl w:val="0"/>
          <w:numId w:val="1002"/>
        </w:numPr>
        <w:pStyle w:val="Compact"/>
      </w:pPr>
      <w:r>
        <w:t xml:space="preserve">How many whole numbers starting with 1 and ending with 100 are perfect squares? </w:t>
      </w:r>
    </w:p>
    <w:p>
      <w:pPr>
        <w:numPr>
          <w:ilvl w:val="0"/>
          <w:numId w:val="1002"/>
        </w:numPr>
        <w:pStyle w:val="Compact"/>
      </w:pPr>
      <w:r>
        <w:t xml:space="preserve">What about whole numbers starting with 1 and ending with 1,000?</w:t>
      </w:r>
    </w:p>
    <w:bookmarkEnd w:id="27"/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2023-05-04T19:13:17Z</dcterms:created>
  <dcterms:modified xsi:type="dcterms:W3CDTF">2023-05-04T19:13:17Z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lSF2e3KVQhR2/ZLllWia4cu0QBidj+NvF9UnLWgzWqy21J9LHTlvQhI2XQrIzesBN4gAhsaBW5xiHWhUUME4AA==</vt:lpwstr>
  </property>
</Properties>
</file>