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the-students-collection"/>
    <w:p>
      <w:pPr>
        <w:pStyle w:val="Heading2"/>
      </w:pPr>
      <w:r>
        <w:t xml:space="preserve">Activity 3: The Student’s Collection</w:t>
      </w:r>
    </w:p>
    <w:bookmarkEnd w:id="20"/>
    <w:p>
      <w:pPr>
        <w:numPr>
          <w:ilvl w:val="0"/>
          <w:numId w:val="1001"/>
        </w:numPr>
      </w:pPr>
      <w:r>
        <w:t xml:space="preserve">Sort your collection into three categories. You can experiment with different ways of arranging these categories. Then, count the items in each category, and record the information in the table.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category amount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numPr>
          <w:ilvl w:val="0"/>
          <w:numId w:val="1001"/>
        </w:numPr>
      </w:pPr>
      <w:r>
        <w:t xml:space="preserve">Write at least two sentences that describe</w:t>
      </w:r>
      <w:r>
        <w:t xml:space="preserve"> </w:t>
      </w:r>
      <w:r>
        <w:rPr>
          <w:bCs/>
          <w:b/>
        </w:rPr>
        <w:t xml:space="preserve">ratios</w:t>
      </w:r>
      <w:r>
        <w:t xml:space="preserve"> in the collection. Remember, there are many ways to write a ratio:</w:t>
      </w:r>
    </w:p>
    <w:p>
      <w:pPr>
        <w:numPr>
          <w:ilvl w:val="1"/>
          <w:numId w:val="1002"/>
        </w:numPr>
        <w:pStyle w:val="Compact"/>
      </w:pPr>
      <w:r>
        <w:t xml:space="preserve">The ratio of</w:t>
      </w:r>
      <w:r>
        <w:t xml:space="preserve"> </w:t>
      </w:r>
      <w:r>
        <w:rPr>
          <w:iCs/>
          <w:i/>
        </w:rPr>
        <w:t xml:space="preserve">one category</w:t>
      </w:r>
      <w:r>
        <w:t xml:space="preserve"> to</w:t>
      </w:r>
      <w:r>
        <w:t xml:space="preserve"> </w:t>
      </w:r>
      <w:r>
        <w:rPr>
          <w:iCs/>
          <w:i/>
        </w:rPr>
        <w:t xml:space="preserve">another category</w:t>
      </w:r>
      <w:r>
        <w:t xml:space="preserve"> is ________ to ________.</w:t>
      </w:r>
    </w:p>
    <w:p>
      <w:pPr>
        <w:numPr>
          <w:ilvl w:val="1"/>
          <w:numId w:val="1002"/>
        </w:numPr>
        <w:pStyle w:val="Compact"/>
      </w:pPr>
      <w:r>
        <w:t xml:space="preserve">The ratio of</w:t>
      </w:r>
      <w:r>
        <w:t xml:space="preserve"> </w:t>
      </w:r>
      <w:r>
        <w:rPr>
          <w:iCs/>
          <w:i/>
        </w:rPr>
        <w:t xml:space="preserve">one category</w:t>
      </w:r>
      <w:r>
        <w:t xml:space="preserve"> to</w:t>
      </w:r>
      <w:r>
        <w:t xml:space="preserve"> </w:t>
      </w:r>
      <w:r>
        <w:rPr>
          <w:iCs/>
          <w:i/>
        </w:rPr>
        <w:t xml:space="preserve">another category</w:t>
      </w:r>
      <w:r>
        <w:t xml:space="preserve"> is ________ : ________.</w:t>
      </w:r>
    </w:p>
    <w:p>
      <w:pPr>
        <w:numPr>
          <w:ilvl w:val="1"/>
          <w:numId w:val="1002"/>
        </w:numPr>
      </w:pPr>
      <w:r>
        <w:t xml:space="preserve">There are _______ of</w:t>
      </w:r>
      <w:r>
        <w:t xml:space="preserve"> </w:t>
      </w:r>
      <w:r>
        <w:rPr>
          <w:iCs/>
          <w:i/>
        </w:rPr>
        <w:t xml:space="preserve">one category</w:t>
      </w:r>
      <w:r>
        <w:t xml:space="preserve"> for every _______ of</w:t>
      </w:r>
      <w:r>
        <w:t xml:space="preserve"> </w:t>
      </w:r>
      <w:r>
        <w:rPr>
          <w:iCs/>
          <w:i/>
        </w:rPr>
        <w:t xml:space="preserve">another category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Pause here so your teacher can review your sentences.</w:t>
      </w:r>
    </w:p>
    <w:p>
      <w:pPr>
        <w:numPr>
          <w:ilvl w:val="0"/>
          <w:numId w:val="1001"/>
        </w:numPr>
        <w:pStyle w:val="Compact"/>
      </w:pPr>
      <w:r>
        <w:t xml:space="preserve">Make a visual display of your items that clearly shows one of your statements. Be prepared to share your display with the class.</w:t>
      </w:r>
    </w:p>
    <w:bookmarkStart w:id="24" w:name="are-you-ready-for-more"/>
    <w:p>
      <w:pPr>
        <w:pStyle w:val="Heading4"/>
      </w:pPr>
      <w:r>
        <w:t xml:space="preserve">Are you ready for more?</w:t>
      </w:r>
    </w:p>
    <w:p>
      <w:pPr>
        <w:numPr>
          <w:ilvl w:val="0"/>
          <w:numId w:val="1003"/>
        </w:numPr>
        <w:pStyle w:val="Compact"/>
      </w:pPr>
      <w:r>
        <w:t xml:space="preserve">Use two colors to shade the rectangle so there are 2 square units of one color for every 1 square unit of the other color.</w:t>
      </w:r>
    </w:p>
    <w:p>
      <w:pPr>
        <w:numPr>
          <w:ilvl w:val="0"/>
          <w:numId w:val="1003"/>
        </w:numPr>
      </w:pPr>
      <w:r>
        <w:t xml:space="preserve">The rectangle you just colored has an area of 24 square units. Draw a different shape that does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have an area of 24 square units, but that can also be shaded with two colors in a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1</m:t>
        </m:r>
      </m:oMath>
      <w:r>
        <w:t xml:space="preserve"> </w:t>
      </w:r>
      <w:r>
        <w:t xml:space="preserve">ratio. Shade your new shape using two colors.</w:t>
      </w:r>
    </w:p>
    <w:p>
      <w:pPr>
        <w:pStyle w:val="FirstParagraph"/>
      </w:pPr>
      <w:r>
        <w:drawing>
          <wp:inline>
            <wp:extent cx="1385361" cy="926632"/>
            <wp:effectExtent b="0" l="0" r="0" t="0"/>
            <wp:docPr descr="A 4 by 6 grid of squares." title="" id="22" name="Picture"/>
            <a:graphic>
              <a:graphicData uri="http://schemas.openxmlformats.org/drawingml/2006/picture">
                <pic:pic>
                  <pic:nvPicPr>
                    <pic:cNvPr descr="/app/tmp/embedder-1683227582.32496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361" cy="926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2023-05-04T19:13:03Z</dcterms:created>
  <dcterms:modified xsi:type="dcterms:W3CDTF">2023-05-04T19:13:03Z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GMKWHNgFTz6k9jBau2Va0kZUpqKki/w5FcuB2liIZzY7N38st6liaMA9/7XmwCsyumjmPP+FRMpgA86jYHoFmg==</vt:lpwstr>
  </property>
</Properties>
</file>