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6AFB5B82"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 You may merge the heading below for your convenience.</w:t>
      </w:r>
    </w:p>
    <w:p w14:paraId="3463842D" w14:textId="6D22CA5B" w:rsidR="00BC5FEC" w:rsidRPr="00456602" w:rsidRDefault="00BC5FEC" w:rsidP="00BC5FEC">
      <w:pPr>
        <w:pStyle w:val="Heading1"/>
      </w:pPr>
      <w:r w:rsidRPr="00456602">
        <w:t>Literature Review</w:t>
      </w:r>
    </w:p>
    <w:p w14:paraId="68D28571" w14:textId="47F26E8E" w:rsidR="00BC5FEC" w:rsidRPr="00456602" w:rsidRDefault="00BC5FEC" w:rsidP="00BC5FEC">
      <w:pPr>
        <w:pStyle w:val="BodyText"/>
      </w:pPr>
      <w:r w:rsidRPr="00456602">
        <w:rPr>
          <w:highlight w:val="yellow"/>
        </w:rPr>
        <w:t>Remove all unnecessary sections and replace with your content</w:t>
      </w:r>
      <w:r w:rsidRPr="00456602">
        <w:t xml:space="preserve">: This template, modified in MS Word 2007 uses time new roman font, size 10. </w:t>
      </w:r>
    </w:p>
    <w:p w14:paraId="0AD61424" w14:textId="3D52A9BD" w:rsidR="00BC5FEC" w:rsidRPr="00456602" w:rsidRDefault="00BC5FEC" w:rsidP="00BC5FEC">
      <w:pPr>
        <w:pStyle w:val="Heading2"/>
      </w:pPr>
      <w:r w:rsidRPr="00456602">
        <w:t>Subheading…</w:t>
      </w:r>
    </w:p>
    <w:p w14:paraId="456E0958" w14:textId="3B53D565" w:rsidR="00BC5FEC" w:rsidRPr="00456602" w:rsidRDefault="00BC5FEC" w:rsidP="00BC5FEC">
      <w:pPr>
        <w:pStyle w:val="BodyText"/>
      </w:pPr>
      <w:r w:rsidRPr="00456602">
        <w:rPr>
          <w:highlight w:val="green"/>
        </w:rPr>
        <w:t>Follow this format if you would like to add a subheading:</w:t>
      </w:r>
      <w:r w:rsidRPr="00456602">
        <w:t xml:space="preserve"> </w:t>
      </w:r>
    </w:p>
    <w:p w14:paraId="7EC167D8" w14:textId="538F3291" w:rsidR="00BC5FEC" w:rsidRPr="00456602" w:rsidRDefault="00BC5FEC" w:rsidP="00BC5FEC">
      <w:pPr>
        <w:pStyle w:val="Heading2"/>
      </w:pPr>
      <w:r w:rsidRPr="00456602">
        <w:t>Subheading 2 and so on…</w:t>
      </w:r>
    </w:p>
    <w:p w14:paraId="1A2E56B7" w14:textId="77777777" w:rsidR="00BC5FEC" w:rsidRPr="00456602" w:rsidRDefault="00BC5FEC" w:rsidP="00BC5FEC">
      <w:pPr>
        <w:pStyle w:val="BodyText"/>
      </w:pPr>
    </w:p>
    <w:p w14:paraId="51CF5FDA" w14:textId="3A48D9B7" w:rsidR="00BC5FEC" w:rsidRPr="00456602" w:rsidRDefault="00BC5FEC" w:rsidP="00BC5FEC">
      <w:pPr>
        <w:pStyle w:val="BodyText"/>
      </w:pPr>
      <w:r w:rsidRPr="00456602">
        <w:rPr>
          <w:highlight w:val="yellow"/>
        </w:rPr>
        <w:t>Remove all unnecessary sections and replace with your content</w:t>
      </w:r>
      <w:r w:rsidRPr="00456602">
        <w:t xml:space="preserve"> First, confirm that you have the correct template for your paper size. This template has been tailored for output on the A4 paper size. </w:t>
      </w:r>
    </w:p>
    <w:p w14:paraId="17C56590" w14:textId="77777777" w:rsidR="00BC5FEC" w:rsidRPr="00456602" w:rsidRDefault="00BC5FEC" w:rsidP="00BC5FEC">
      <w:pPr>
        <w:pStyle w:val="BodyText"/>
      </w:pPr>
    </w:p>
    <w:p w14:paraId="20780342" w14:textId="66EDEB93" w:rsidR="00BC5FEC" w:rsidRPr="00456602" w:rsidRDefault="00BC5FEC" w:rsidP="00BC5FEC">
      <w:pPr>
        <w:pStyle w:val="Heading1"/>
      </w:pPr>
      <w:r w:rsidRPr="00456602">
        <w:t>Methodology</w:t>
      </w:r>
    </w:p>
    <w:p w14:paraId="03038368" w14:textId="12ADB40E" w:rsidR="00200E57" w:rsidRPr="00456602" w:rsidRDefault="00200E57" w:rsidP="001B7650">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280929">
        <w:t xml:space="preserve"> profession</w:t>
      </w:r>
      <w:r w:rsidR="00FA29C6">
        <w:t xml:space="preserve"> moisture 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These measurement</w:t>
      </w:r>
      <w:r w:rsidR="006237BD">
        <w:t>s</w:t>
      </w:r>
      <w:r w:rsidR="00280929">
        <w:t xml:space="preserve"> will be collected at regular set intervals as this will prevent the microcontrollers from overflowing with too much data and causing delays in the system. Also, this will allow for scalability for the system itself as the consumer will allowed to connect more data collection nodes to cover more area without causing</w:t>
      </w:r>
      <w:r w:rsidR="001B7650">
        <w:t xml:space="preserve"> issues for the already existing system.</w:t>
      </w:r>
    </w:p>
    <w:p w14:paraId="5728329E" w14:textId="0009E530" w:rsidR="00200E57" w:rsidRDefault="00200E57" w:rsidP="007B50D0">
      <w:pPr>
        <w:pStyle w:val="BodyText"/>
      </w:pPr>
    </w:p>
    <w:p w14:paraId="0AAA528C" w14:textId="3A1C7D70" w:rsidR="001253F5" w:rsidRDefault="00F63023" w:rsidP="007B50D0">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won’t have a major impact on the processing speeds and won’t disrupt the communication of the two controllers. Also with future scalability in mind, this communication protocol will be a valid choice as the </w:t>
      </w:r>
    </w:p>
    <w:p w14:paraId="16AA03A2" w14:textId="78A26FDC" w:rsidR="00F63023" w:rsidRDefault="00F63023" w:rsidP="007B50D0">
      <w:pPr>
        <w:pStyle w:val="BodyText"/>
      </w:pPr>
      <w:r>
        <w:lastRenderedPageBreak/>
        <w:t xml:space="preserve">due </w:t>
      </w:r>
      <w:r w:rsidR="0039020B">
        <w:t xml:space="preserve">to possible scalability of the connections, via this method a system is allowed multiple masters and slaves </w:t>
      </w:r>
    </w:p>
    <w:p w14:paraId="0E30C533" w14:textId="77777777" w:rsidR="00F63023" w:rsidRPr="00456602" w:rsidRDefault="00F63023" w:rsidP="007B50D0">
      <w:pPr>
        <w:pStyle w:val="BodyText"/>
      </w:pPr>
    </w:p>
    <w:p w14:paraId="79A8E469" w14:textId="7950FB7B" w:rsidR="00BC5FEC" w:rsidRPr="00456602" w:rsidRDefault="00EF5149" w:rsidP="007B50D0">
      <w:pPr>
        <w:pStyle w:val="BodyText"/>
      </w:pPr>
      <w:r w:rsidRPr="00456602">
        <w:t xml:space="preserve">In Figure </w:t>
      </w:r>
      <w:r w:rsidR="0048429E">
        <w:t>1</w:t>
      </w:r>
      <w:r w:rsidRPr="00456602">
        <w:t xml:space="preserve">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0647AECB" w:rsidR="00EF5149" w:rsidRDefault="00F63023" w:rsidP="00EF5149">
      <w:pPr>
        <w:pStyle w:val="BodyText"/>
        <w:numPr>
          <w:ilvl w:val="0"/>
          <w:numId w:val="14"/>
        </w:numPr>
      </w:pPr>
      <w:r>
        <w:t>2</w:t>
      </w:r>
      <w:r w:rsidR="00EF5149" w:rsidRPr="00456602">
        <w:t>x Arduino Uno</w:t>
      </w:r>
    </w:p>
    <w:p w14:paraId="1C056EC6" w14:textId="13C89FF8" w:rsidR="006237BD" w:rsidRPr="00456602" w:rsidRDefault="006237BD" w:rsidP="00EF5149">
      <w:pPr>
        <w:pStyle w:val="BodyText"/>
        <w:numPr>
          <w:ilvl w:val="0"/>
          <w:numId w:val="14"/>
        </w:numPr>
      </w:pPr>
      <w:r>
        <w:t>1x LCD screen</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1834CD1D" w14:textId="2CA2864E" w:rsidR="00EF5149" w:rsidRPr="00456602" w:rsidRDefault="00EF5149" w:rsidP="00EF5149">
      <w:pPr>
        <w:pStyle w:val="BodyText"/>
        <w:numPr>
          <w:ilvl w:val="0"/>
          <w:numId w:val="14"/>
        </w:numPr>
      </w:pPr>
      <w:r w:rsidRPr="00456602">
        <w:t>1x Temperature Sensor</w:t>
      </w:r>
    </w:p>
    <w:p w14:paraId="530A073A" w14:textId="37A8A934" w:rsidR="0048429E" w:rsidRDefault="0048429E" w:rsidP="0048429E">
      <w:pPr>
        <w:pStyle w:val="BodyText"/>
        <w:numPr>
          <w:ilvl w:val="0"/>
          <w:numId w:val="14"/>
        </w:numPr>
      </w:pPr>
      <w:r w:rsidRPr="0048429E">
        <w:drawing>
          <wp:anchor distT="0" distB="0" distL="114300" distR="114300" simplePos="0" relativeHeight="251658752" behindDoc="1" locked="0" layoutInCell="1" allowOverlap="1" wp14:anchorId="197F4E9A" wp14:editId="092FC1C8">
            <wp:simplePos x="0" y="0"/>
            <wp:positionH relativeFrom="margin">
              <wp:align>left</wp:align>
            </wp:positionH>
            <wp:positionV relativeFrom="paragraph">
              <wp:posOffset>226060</wp:posOffset>
            </wp:positionV>
            <wp:extent cx="6630035" cy="5391785"/>
            <wp:effectExtent l="19050" t="19050" r="18415" b="18415"/>
            <wp:wrapTight wrapText="bothSides">
              <wp:wrapPolygon edited="0">
                <wp:start x="-62" y="-76"/>
                <wp:lineTo x="-62" y="21597"/>
                <wp:lineTo x="21598" y="21597"/>
                <wp:lineTo x="21598" y="-76"/>
                <wp:lineTo x="-62" y="-76"/>
              </wp:wrapPolygon>
            </wp:wrapTight>
            <wp:docPr id="205710226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2262" name="Picture 1" descr="A diagram of a circuit board&#10;&#10;Description automatically generated"/>
                    <pic:cNvPicPr/>
                  </pic:nvPicPr>
                  <pic:blipFill>
                    <a:blip r:embed="rId5"/>
                    <a:stretch>
                      <a:fillRect/>
                    </a:stretch>
                  </pic:blipFill>
                  <pic:spPr>
                    <a:xfrm>
                      <a:off x="0" y="0"/>
                      <a:ext cx="6630035" cy="5391785"/>
                    </a:xfrm>
                    <a:prstGeom prst="rect">
                      <a:avLst/>
                    </a:prstGeom>
                    <a:ln>
                      <a:solidFill>
                        <a:schemeClr val="tx1"/>
                      </a:solidFill>
                    </a:ln>
                  </pic:spPr>
                </pic:pic>
              </a:graphicData>
            </a:graphic>
          </wp:anchor>
        </w:drawing>
      </w:r>
      <w:r w:rsidR="006B096F" w:rsidRPr="00456602">
        <w:t>x Wires</w:t>
      </w:r>
    </w:p>
    <w:p w14:paraId="7599DE9E" w14:textId="76ED6FB5" w:rsidR="0057273D" w:rsidRPr="00456602" w:rsidRDefault="0048429E" w:rsidP="0048429E">
      <w:pPr>
        <w:pStyle w:val="Caption"/>
      </w:pPr>
      <w:r>
        <w:t xml:space="preserve">Figure </w:t>
      </w:r>
      <w:fldSimple w:instr=" SEQ Figure \* ARABIC ">
        <w:r>
          <w:rPr>
            <w:noProof/>
          </w:rPr>
          <w:t>1</w:t>
        </w:r>
      </w:fldSimple>
    </w:p>
    <w:p w14:paraId="0170500A" w14:textId="1EC0CD67" w:rsidR="00BC5FEC" w:rsidRPr="00456602" w:rsidRDefault="001F2E4A" w:rsidP="00BC5FEC">
      <w:pPr>
        <w:pStyle w:val="Heading2"/>
      </w:pPr>
      <w:r w:rsidRPr="00456602">
        <w:lastRenderedPageBreak/>
        <w:t>Implementation</w:t>
      </w:r>
      <w:r w:rsidR="0057273D" w:rsidRPr="00456602">
        <w:t xml:space="preserve"> of a Moisture Sensor</w:t>
      </w:r>
    </w:p>
    <w:p w14:paraId="54BCFDF7" w14:textId="495391D7" w:rsidR="00F95BC9" w:rsidRPr="00456602" w:rsidRDefault="00F95BC9" w:rsidP="001F2E4A">
      <w:pPr>
        <w:jc w:val="both"/>
      </w:pPr>
      <w:r w:rsidRPr="00456602">
        <w:t xml:space="preserve">      Moisture Sensors use dielectric-permittivity [1] to calculates the volumetric content of water in soil to </w:t>
      </w:r>
      <w:r w:rsidR="001F2E4A" w:rsidRPr="00456602">
        <w:t xml:space="preserve">fluctuate the </w:t>
      </w:r>
      <w:r w:rsidRPr="00456602">
        <w:t xml:space="preserve">resistance value </w:t>
      </w:r>
      <w:r w:rsidR="001F2E4A" w:rsidRPr="00456602">
        <w:t xml:space="preserve">of the sensor using the built-in variable resistor,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1F2E4A" w:rsidRPr="00456602">
        <w:t>. These sensors will be connected in groups, and transmitting data in groups to their corresponding master node over a wireless connection, to allow for more data collection which can then be averaged to provide more accurate results per area.</w:t>
      </w:r>
    </w:p>
    <w:p w14:paraId="01616310" w14:textId="0A2131B4" w:rsidR="00F95BC9" w:rsidRPr="00456602" w:rsidRDefault="00F95BC9" w:rsidP="00F95BC9">
      <w:r w:rsidRPr="00456602">
        <w:t xml:space="preserve">[1 - </w:t>
      </w:r>
      <w:hyperlink r:id="rId6" w:history="1">
        <w:r w:rsidRPr="00456602">
          <w:rPr>
            <w:rStyle w:val="Hyperlink"/>
          </w:rPr>
          <w:t>https://gi.coperni</w:t>
        </w:r>
        <w:r w:rsidRPr="00456602">
          <w:rPr>
            <w:rStyle w:val="Hyperlink"/>
          </w:rPr>
          <w:t>c</w:t>
        </w:r>
        <w:r w:rsidRPr="00456602">
          <w:rPr>
            <w:rStyle w:val="Hyperlink"/>
          </w:rPr>
          <w:t>us.org/articles/12/45/2023/gi-12-45-2023.pdf</w:t>
        </w:r>
      </w:hyperlink>
      <w:r w:rsidRPr="00456602">
        <w:t>]</w:t>
      </w:r>
    </w:p>
    <w:p w14:paraId="32DE18A0" w14:textId="652361CE" w:rsidR="00F95BC9" w:rsidRPr="00456602" w:rsidRDefault="00F95BC9" w:rsidP="0057273D">
      <w:r w:rsidRPr="00456602">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1A476195" w:rsidR="001F2E4A" w:rsidRDefault="00B43ACB" w:rsidP="00B43ACB">
      <w:pPr>
        <w:jc w:val="both"/>
      </w:pPr>
      <w:r>
        <w:t xml:space="preserve">      </w:t>
      </w:r>
      <w:r w:rsidR="00BF418B" w:rsidRPr="00456602">
        <w:t xml:space="preserve">Temperature sensors are working alongside moisture sensors, they will be </w:t>
      </w:r>
      <w:r w:rsidR="00252745" w:rsidRPr="00456602">
        <w:t>feeding information towards the master node at similar intervals to the moisture sensors, the data collected from these sensors will be displayed to the user on an LCD where each group of sensors will have their temperatures displayed, and the user will be able to toggle which group is being displayed on the screen.</w:t>
      </w:r>
    </w:p>
    <w:p w14:paraId="705AECE8" w14:textId="77777777" w:rsidR="00B43ACB" w:rsidRDefault="00B43ACB" w:rsidP="00BF418B">
      <w:pPr>
        <w:ind w:left="288"/>
        <w:jc w:val="both"/>
      </w:pPr>
    </w:p>
    <w:p w14:paraId="08358627" w14:textId="34E36D75" w:rsidR="00B43ACB" w:rsidRPr="00456602" w:rsidRDefault="00B43ACB" w:rsidP="00B43ACB">
      <w:pPr>
        <w:pStyle w:val="Heading2"/>
      </w:pPr>
      <w:r w:rsidRPr="00456602">
        <w:t>Implementation of a</w:t>
      </w:r>
      <w:r w:rsidR="009D78BF">
        <w:t>n</w:t>
      </w:r>
      <w:r w:rsidRPr="00456602">
        <w:t xml:space="preserve"> </w:t>
      </w:r>
      <w:r>
        <w:t>LCD</w:t>
      </w:r>
      <w:r w:rsidR="009D78BF">
        <w:t xml:space="preserve"> Screen</w:t>
      </w:r>
    </w:p>
    <w:p w14:paraId="08683A79" w14:textId="393356B4" w:rsidR="00B43ACB" w:rsidRPr="00F71C2E" w:rsidRDefault="00F71C2E" w:rsidP="00F71C2E">
      <w:pPr>
        <w:ind w:left="288"/>
        <w:jc w:val="both"/>
      </w:pPr>
      <w:r>
        <w:t xml:space="preserve">LCD Screens will be displaying data gathered from the moisture and temperature sensors </w:t>
      </w:r>
      <w:r w:rsidR="00027317">
        <w:t xml:space="preserve">to the user, the information that is to be displayed will be sent from the slave </w:t>
      </w:r>
      <w:r w:rsidR="00B34CB5">
        <w:t>Arduino directly to the screen for the user to view it.</w:t>
      </w:r>
    </w:p>
    <w:p w14:paraId="7A655281" w14:textId="77777777" w:rsidR="00B43ACB" w:rsidRPr="00456602" w:rsidRDefault="00B43ACB" w:rsidP="00BF418B">
      <w:pPr>
        <w:ind w:left="288"/>
        <w:jc w:val="both"/>
      </w:pPr>
    </w:p>
    <w:p w14:paraId="47546DFF" w14:textId="77777777" w:rsidR="001F2E4A" w:rsidRPr="00456602" w:rsidRDefault="001F2E4A" w:rsidP="0057273D"/>
    <w:p w14:paraId="61B576D2" w14:textId="6A5E478D" w:rsidR="00316920" w:rsidRDefault="00316920" w:rsidP="00316920">
      <w:pPr>
        <w:jc w:val="both"/>
      </w:pPr>
      <w:r w:rsidRPr="00456602">
        <w:t xml:space="preserve">      Using the data collected from both moisture sensor and temperature sensor, the micro-controller will be able to control a</w:t>
      </w:r>
      <w:r w:rsidR="00DA79BC" w:rsidRPr="00456602">
        <w:t>n</w:t>
      </w:r>
      <w:r w:rsidRPr="00456602">
        <w:t xml:space="preserve"> irrigation system</w:t>
      </w:r>
      <w:r w:rsidR="00DA79BC" w:rsidRPr="00456602">
        <w:t xml:space="preserve"> (either a sprinkler network </w:t>
      </w:r>
      <w:proofErr w:type="gramStart"/>
      <w:r w:rsidR="00DA79BC" w:rsidRPr="00456602">
        <w:t xml:space="preserve">or </w:t>
      </w:r>
      <w:r w:rsidR="00265586" w:rsidRPr="00456602">
        <w:t>)</w:t>
      </w:r>
      <w:proofErr w:type="gramEnd"/>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The commands that are to be sent will be based on </w:t>
      </w:r>
      <w:r w:rsidR="009F60AE" w:rsidRPr="00456602">
        <w:t xml:space="preserve">default presets (of which they will be most commonly farmed crops) or a custom </w:t>
      </w:r>
      <w:r w:rsidR="00F63023" w:rsidRPr="00456602">
        <w:t>pre-set</w:t>
      </w:r>
      <w:r w:rsidR="009F60AE" w:rsidRPr="00456602">
        <w:t xml:space="preserve"> can be created by the farmers themselves.</w:t>
      </w:r>
    </w:p>
    <w:p w14:paraId="3DEBEEC0" w14:textId="1F32FF43" w:rsidR="0007326B" w:rsidRDefault="0007326B" w:rsidP="00316920">
      <w:pPr>
        <w:jc w:val="both"/>
      </w:pPr>
    </w:p>
    <w:p w14:paraId="02777A12" w14:textId="0049763E" w:rsidR="0007326B" w:rsidRPr="00456602" w:rsidRDefault="0007326B" w:rsidP="00316920">
      <w:pPr>
        <w:jc w:val="both"/>
      </w:pPr>
      <w:r>
        <w:t xml:space="preserve">      With future development in mind, </w:t>
      </w:r>
    </w:p>
    <w:p w14:paraId="27901164" w14:textId="77777777" w:rsidR="00252745" w:rsidRPr="00456602" w:rsidRDefault="00252745" w:rsidP="0057273D"/>
    <w:p w14:paraId="1E2A1EFC" w14:textId="0DD361F3" w:rsidR="00BC5FEC" w:rsidRPr="00456602" w:rsidRDefault="00BC5FEC" w:rsidP="00BC5FEC">
      <w:pPr>
        <w:pStyle w:val="BodyText"/>
      </w:pPr>
      <w:r w:rsidRPr="00456602">
        <w:t xml:space="preserve">Assuming that this </w:t>
      </w:r>
      <w:r w:rsidR="00FE63E2" w:rsidRPr="00456602">
        <w:t>subheading consists of your Boolean equation, please ensure you follow the equation format by inserting equation on the above panel as shown below</w:t>
      </w:r>
    </w:p>
    <w:p w14:paraId="016171FC" w14:textId="27E45C28" w:rsidR="00FE63E2" w:rsidRPr="00456602" w:rsidRDefault="00BC3CD0" w:rsidP="00BC5FEC">
      <w:pPr>
        <w:pStyle w:val="BodyText"/>
      </w:pPr>
      <w:r w:rsidRPr="00456602">
        <w:rPr>
          <w:noProof/>
        </w:rPr>
        <w:drawing>
          <wp:inline distT="0" distB="0" distL="0" distR="0" wp14:anchorId="259F9D9B" wp14:editId="3E539769">
            <wp:extent cx="6635750" cy="666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750" cy="666750"/>
                    </a:xfrm>
                    <a:prstGeom prst="rect">
                      <a:avLst/>
                    </a:prstGeom>
                    <a:noFill/>
                    <a:ln>
                      <a:noFill/>
                    </a:ln>
                  </pic:spPr>
                </pic:pic>
              </a:graphicData>
            </a:graphic>
          </wp:inline>
        </w:drawing>
      </w:r>
    </w:p>
    <w:p w14:paraId="0B922A60" w14:textId="5DAD6EB5" w:rsidR="00BC5FEC" w:rsidRPr="00456602" w:rsidRDefault="00FE63E2" w:rsidP="00BC5FEC">
      <w:pPr>
        <w:pStyle w:val="BodyText"/>
      </w:pPr>
      <w:r w:rsidRPr="00456602">
        <w:t>(The above figure is just for guidance, and so please remove if you are aware of how to insert equations)</w:t>
      </w:r>
    </w:p>
    <w:p w14:paraId="7A01245B" w14:textId="66486818" w:rsidR="00FE63E2" w:rsidRPr="00456602" w:rsidRDefault="00FE63E2" w:rsidP="00FE63E2">
      <w:pPr>
        <w:pStyle w:val="BodyText"/>
      </w:pPr>
      <w:r w:rsidRPr="00456602">
        <w:t>Your equation should look like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59"/>
      </w:tblGrid>
      <w:tr w:rsidR="007B50D0" w:rsidRPr="00456602" w14:paraId="2A78816E" w14:textId="77777777" w:rsidTr="007B50D0">
        <w:tc>
          <w:tcPr>
            <w:tcW w:w="9072" w:type="dxa"/>
          </w:tcPr>
          <w:p w14:paraId="74B4311A" w14:textId="320003B7" w:rsidR="007B50D0" w:rsidRPr="00456602" w:rsidRDefault="007B50D0" w:rsidP="00FE63E2">
            <w:pPr>
              <w:pStyle w:val="BodyText"/>
              <w:ind w:firstLine="0"/>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59" w:type="dxa"/>
            <w:vAlign w:val="center"/>
          </w:tcPr>
          <w:p w14:paraId="3FCCAF93" w14:textId="660A5B6A" w:rsidR="007B50D0" w:rsidRPr="00456602" w:rsidRDefault="007B50D0" w:rsidP="007B50D0">
            <w:pPr>
              <w:pStyle w:val="BodyText"/>
              <w:ind w:firstLine="0"/>
              <w:jc w:val="center"/>
            </w:pPr>
            <w:r w:rsidRPr="00456602">
              <w:t>(1)</w:t>
            </w:r>
          </w:p>
        </w:tc>
      </w:tr>
    </w:tbl>
    <w:p w14:paraId="3A892422" w14:textId="7CAF4B36" w:rsidR="007B50D0" w:rsidRPr="00456602" w:rsidRDefault="007B50D0" w:rsidP="007B50D0">
      <w:pPr>
        <w:pStyle w:val="BodyText"/>
      </w:pPr>
      <w:r w:rsidRPr="00456602">
        <w:t xml:space="preserve">Note that the equation is </w:t>
      </w:r>
      <w:proofErr w:type="spellStart"/>
      <w:r w:rsidRPr="00456602">
        <w:t>centered</w:t>
      </w:r>
      <w:proofErr w:type="spellEnd"/>
      <w:r w:rsidRPr="00456602">
        <w:t xml:space="preserve"> using a </w:t>
      </w:r>
      <w:proofErr w:type="spellStart"/>
      <w:r w:rsidRPr="00456602">
        <w:t>center</w:t>
      </w:r>
      <w:proofErr w:type="spellEnd"/>
      <w:r w:rsidRPr="00456602">
        <w:t xml:space="preserve"> tab stop. Be sure that the symbols in your equation have been defined before or immediately following the equation. Use “(1),” not “Eq. (1)” or “equation (1),” except at the beginning of a sentence: “Equation (1) is ...”</w:t>
      </w:r>
    </w:p>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lastRenderedPageBreak/>
        <w:t>Conclusion</w:t>
      </w:r>
    </w:p>
    <w:p w14:paraId="393FF830"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2788635A" w14:textId="2899404A" w:rsidR="00BC5FEC" w:rsidRPr="00456602" w:rsidRDefault="00BC5FEC" w:rsidP="00BC5FEC">
      <w:pPr>
        <w:pStyle w:val="BodyText"/>
      </w:pPr>
    </w:p>
    <w:p w14:paraId="24A9C85B" w14:textId="77777777" w:rsidR="00BC5FEC" w:rsidRPr="00456602" w:rsidRDefault="00BC5FEC" w:rsidP="00BC5FEC">
      <w:pPr>
        <w:pStyle w:val="BodyText"/>
      </w:pPr>
    </w:p>
    <w:p w14:paraId="5229B56C" w14:textId="77777777" w:rsidR="008A55B5" w:rsidRPr="00456602" w:rsidRDefault="008A55B5" w:rsidP="00EF3A1A">
      <w:pPr>
        <w:pStyle w:val="Heading2"/>
      </w:pPr>
      <w:r w:rsidRPr="00456602">
        <w:t>Some Common Mistakes</w:t>
      </w:r>
    </w:p>
    <w:p w14:paraId="2521C402" w14:textId="77777777" w:rsidR="008A55B5" w:rsidRPr="00456602" w:rsidRDefault="008A55B5" w:rsidP="008054BC">
      <w:pPr>
        <w:pStyle w:val="bulletlist"/>
      </w:pPr>
      <w:r w:rsidRPr="00456602">
        <w:t xml:space="preserve">The word </w:t>
      </w:r>
      <w:r w:rsidR="004445B3" w:rsidRPr="00456602">
        <w:t>“</w:t>
      </w:r>
      <w:r w:rsidRPr="00456602">
        <w:t>data</w:t>
      </w:r>
      <w:r w:rsidR="004445B3" w:rsidRPr="00456602">
        <w:t>”</w:t>
      </w:r>
      <w:r w:rsidRPr="00456602">
        <w:t xml:space="preserve"> is plural, not singular.</w:t>
      </w:r>
    </w:p>
    <w:p w14:paraId="1B69370D" w14:textId="77777777" w:rsidR="008A55B5" w:rsidRPr="00456602" w:rsidRDefault="008A55B5" w:rsidP="008054BC">
      <w:pPr>
        <w:pStyle w:val="bulletlist"/>
      </w:pPr>
      <w:r w:rsidRPr="00456602">
        <w:t xml:space="preserve">The subscript for the permeability of vacuum </w:t>
      </w:r>
      <w:r w:rsidRPr="00456602">
        <w:rPr>
          <w:rFonts w:ascii="Symbol" w:hAnsi="Symbol" w:cs="Symbol"/>
          <w:i/>
          <w:iCs/>
          <w:snapToGrid w:val="0"/>
        </w:rPr>
        <w:t></w:t>
      </w:r>
      <w:r w:rsidRPr="00456602">
        <w:rPr>
          <w:vertAlign w:val="subscript"/>
        </w:rPr>
        <w:t>0</w:t>
      </w:r>
      <w:r w:rsidRPr="00456602">
        <w:t xml:space="preserve">, and other common scientific constants, is zero with subscript formatting, not a lowercase letter </w:t>
      </w:r>
      <w:r w:rsidR="004445B3" w:rsidRPr="00456602">
        <w:t>“</w:t>
      </w:r>
      <w:r w:rsidRPr="00456602">
        <w:t>o.</w:t>
      </w:r>
      <w:r w:rsidR="004445B3" w:rsidRPr="00456602">
        <w:t>”</w:t>
      </w:r>
    </w:p>
    <w:p w14:paraId="2E71BBA6" w14:textId="77777777" w:rsidR="006C4648" w:rsidRPr="00456602" w:rsidRDefault="006C4648" w:rsidP="008054BC">
      <w:pPr>
        <w:pStyle w:val="bulletlist"/>
      </w:pPr>
      <w:r w:rsidRPr="00456602">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38A58C" w14:textId="77777777" w:rsidR="008A55B5" w:rsidRPr="00456602" w:rsidRDefault="008A55B5" w:rsidP="008054BC">
      <w:pPr>
        <w:pStyle w:val="bulletlist"/>
      </w:pPr>
      <w:r w:rsidRPr="00456602">
        <w:t xml:space="preserve">A graph within a graph is an </w:t>
      </w:r>
      <w:r w:rsidR="004445B3" w:rsidRPr="00456602">
        <w:t>“</w:t>
      </w:r>
      <w:r w:rsidRPr="00456602">
        <w:t>inset,</w:t>
      </w:r>
      <w:r w:rsidR="004445B3" w:rsidRPr="00456602">
        <w:t>”</w:t>
      </w:r>
      <w:r w:rsidRPr="00456602">
        <w:t xml:space="preserve"> not an </w:t>
      </w:r>
      <w:r w:rsidR="004445B3" w:rsidRPr="00456602">
        <w:t>“</w:t>
      </w:r>
      <w:r w:rsidRPr="00456602">
        <w:t>insert.</w:t>
      </w:r>
      <w:r w:rsidR="004445B3" w:rsidRPr="00456602">
        <w:t>”</w:t>
      </w:r>
      <w:r w:rsidRPr="00456602">
        <w:t xml:space="preserve"> The word alternatively is preferred to the word </w:t>
      </w:r>
      <w:r w:rsidR="004445B3" w:rsidRPr="00456602">
        <w:t>“</w:t>
      </w:r>
      <w:r w:rsidRPr="00456602">
        <w:t>alternately</w:t>
      </w:r>
      <w:r w:rsidR="004445B3" w:rsidRPr="00456602">
        <w:t>”</w:t>
      </w:r>
      <w:r w:rsidRPr="00456602">
        <w:t xml:space="preserve"> (unless you really mean something that alternates).</w:t>
      </w:r>
    </w:p>
    <w:p w14:paraId="0433C853" w14:textId="77777777" w:rsidR="008A55B5" w:rsidRPr="00456602" w:rsidRDefault="008A55B5" w:rsidP="008054BC">
      <w:pPr>
        <w:pStyle w:val="bulletlist"/>
      </w:pPr>
      <w:r w:rsidRPr="00456602">
        <w:t xml:space="preserve">Do not use the word </w:t>
      </w:r>
      <w:r w:rsidR="004445B3" w:rsidRPr="00456602">
        <w:t>“</w:t>
      </w:r>
      <w:r w:rsidRPr="00456602">
        <w:t>essentially</w:t>
      </w:r>
      <w:r w:rsidR="004445B3" w:rsidRPr="00456602">
        <w:t>”</w:t>
      </w:r>
      <w:r w:rsidRPr="00456602">
        <w:t xml:space="preserve"> to mean </w:t>
      </w:r>
      <w:r w:rsidR="004445B3" w:rsidRPr="00456602">
        <w:t>“</w:t>
      </w:r>
      <w:r w:rsidRPr="00456602">
        <w:t>approximately</w:t>
      </w:r>
      <w:r w:rsidR="004445B3" w:rsidRPr="00456602">
        <w:t>”</w:t>
      </w:r>
      <w:r w:rsidRPr="00456602">
        <w:t xml:space="preserve"> or </w:t>
      </w:r>
      <w:r w:rsidR="004445B3" w:rsidRPr="00456602">
        <w:t>“</w:t>
      </w:r>
      <w:r w:rsidRPr="00456602">
        <w:t>effectively.</w:t>
      </w:r>
      <w:r w:rsidR="004445B3" w:rsidRPr="00456602">
        <w:t>”</w:t>
      </w:r>
    </w:p>
    <w:p w14:paraId="5198D12C" w14:textId="77777777" w:rsidR="008A55B5" w:rsidRPr="00456602" w:rsidRDefault="008A55B5" w:rsidP="008054BC">
      <w:pPr>
        <w:pStyle w:val="bulletlist"/>
      </w:pPr>
      <w:r w:rsidRPr="00456602">
        <w:t xml:space="preserve">In your paper title, if the words </w:t>
      </w:r>
      <w:r w:rsidR="004445B3" w:rsidRPr="00456602">
        <w:t>“</w:t>
      </w:r>
      <w:r w:rsidRPr="00456602">
        <w:t>that uses</w:t>
      </w:r>
      <w:r w:rsidR="004445B3" w:rsidRPr="00456602">
        <w:t>”</w:t>
      </w:r>
      <w:r w:rsidRPr="00456602">
        <w:t xml:space="preserve"> can accurately replace the word using, capitalize the </w:t>
      </w:r>
      <w:r w:rsidR="004445B3" w:rsidRPr="00456602">
        <w:t>“</w:t>
      </w:r>
      <w:r w:rsidRPr="00456602">
        <w:t>u</w:t>
      </w:r>
      <w:r w:rsidR="004445B3" w:rsidRPr="00456602">
        <w:t>”</w:t>
      </w:r>
      <w:r w:rsidRPr="00456602">
        <w:t>; if not, keep using lower-cased.</w:t>
      </w:r>
    </w:p>
    <w:p w14:paraId="6E9D6796" w14:textId="77777777" w:rsidR="008A55B5" w:rsidRPr="00456602" w:rsidRDefault="008A55B5" w:rsidP="008054BC">
      <w:pPr>
        <w:pStyle w:val="bulletlist"/>
      </w:pPr>
      <w:r w:rsidRPr="00456602">
        <w:t xml:space="preserve">Be aware of the different meanings of the homophones </w:t>
      </w:r>
      <w:r w:rsidR="004445B3" w:rsidRPr="00456602">
        <w:t>“</w:t>
      </w:r>
      <w:r w:rsidRPr="00456602">
        <w:t>affect</w:t>
      </w:r>
      <w:r w:rsidR="004445B3" w:rsidRPr="00456602">
        <w:t>”</w:t>
      </w:r>
      <w:r w:rsidRPr="00456602">
        <w:t xml:space="preserve"> and </w:t>
      </w:r>
      <w:r w:rsidR="004445B3" w:rsidRPr="00456602">
        <w:t>“</w:t>
      </w:r>
      <w:r w:rsidRPr="00456602">
        <w:t>effect,</w:t>
      </w:r>
      <w:r w:rsidR="004445B3" w:rsidRPr="00456602">
        <w:t>”</w:t>
      </w:r>
      <w:r w:rsidRPr="00456602">
        <w:t xml:space="preserve"> </w:t>
      </w:r>
      <w:r w:rsidR="004445B3" w:rsidRPr="00456602">
        <w:t>“</w:t>
      </w:r>
      <w:r w:rsidRPr="00456602">
        <w:t>complement</w:t>
      </w:r>
      <w:r w:rsidR="004445B3" w:rsidRPr="00456602">
        <w:t>”</w:t>
      </w:r>
      <w:r w:rsidRPr="00456602">
        <w:t xml:space="preserve"> and </w:t>
      </w:r>
      <w:r w:rsidR="004445B3" w:rsidRPr="00456602">
        <w:t>“</w:t>
      </w:r>
      <w:r w:rsidRPr="00456602">
        <w:t>compliment,</w:t>
      </w:r>
      <w:r w:rsidR="004445B3" w:rsidRPr="00456602">
        <w:t>”</w:t>
      </w:r>
      <w:r w:rsidRPr="00456602">
        <w:t xml:space="preserve"> </w:t>
      </w:r>
      <w:r w:rsidR="004445B3" w:rsidRPr="00456602">
        <w:t>“</w:t>
      </w:r>
      <w:r w:rsidRPr="00456602">
        <w:t>discreet</w:t>
      </w:r>
      <w:r w:rsidR="004445B3" w:rsidRPr="00456602">
        <w:t>”</w:t>
      </w:r>
      <w:r w:rsidRPr="00456602">
        <w:t xml:space="preserve"> and </w:t>
      </w:r>
      <w:r w:rsidR="004445B3" w:rsidRPr="00456602">
        <w:t>“</w:t>
      </w:r>
      <w:r w:rsidRPr="00456602">
        <w:t>discrete,</w:t>
      </w:r>
      <w:r w:rsidR="004445B3" w:rsidRPr="00456602">
        <w:t>”</w:t>
      </w:r>
      <w:r w:rsidRPr="00456602">
        <w:t xml:space="preserve"> </w:t>
      </w:r>
      <w:r w:rsidR="004445B3" w:rsidRPr="00456602">
        <w:t>“</w:t>
      </w:r>
      <w:r w:rsidRPr="00456602">
        <w:t>principal</w:t>
      </w:r>
      <w:r w:rsidR="004445B3" w:rsidRPr="00456602">
        <w:t>”</w:t>
      </w:r>
      <w:r w:rsidRPr="00456602">
        <w:t xml:space="preserve"> and </w:t>
      </w:r>
      <w:r w:rsidR="004445B3" w:rsidRPr="00456602">
        <w:t>“</w:t>
      </w:r>
      <w:r w:rsidRPr="00456602">
        <w:t>principle.</w:t>
      </w:r>
      <w:r w:rsidR="004445B3" w:rsidRPr="00456602">
        <w:t>”</w:t>
      </w:r>
    </w:p>
    <w:p w14:paraId="279BE732" w14:textId="77777777" w:rsidR="008A55B5" w:rsidRPr="00456602" w:rsidRDefault="008A55B5" w:rsidP="008054BC">
      <w:pPr>
        <w:pStyle w:val="bulletlist"/>
      </w:pPr>
      <w:r w:rsidRPr="00456602">
        <w:t xml:space="preserve">Do not confuse </w:t>
      </w:r>
      <w:r w:rsidR="004445B3" w:rsidRPr="00456602">
        <w:t>“</w:t>
      </w:r>
      <w:r w:rsidRPr="00456602">
        <w:t>imply</w:t>
      </w:r>
      <w:r w:rsidR="004445B3" w:rsidRPr="00456602">
        <w:t>”</w:t>
      </w:r>
      <w:r w:rsidRPr="00456602">
        <w:t xml:space="preserve"> and </w:t>
      </w:r>
      <w:r w:rsidR="004445B3" w:rsidRPr="00456602">
        <w:t>“</w:t>
      </w:r>
      <w:r w:rsidRPr="00456602">
        <w:t>infer.</w:t>
      </w:r>
      <w:r w:rsidR="004445B3" w:rsidRPr="00456602">
        <w:t>”</w:t>
      </w:r>
    </w:p>
    <w:p w14:paraId="23012CD4" w14:textId="77777777" w:rsidR="008A55B5" w:rsidRPr="00456602" w:rsidRDefault="008A55B5" w:rsidP="008054BC">
      <w:pPr>
        <w:pStyle w:val="bulletlist"/>
      </w:pPr>
      <w:r w:rsidRPr="00456602">
        <w:t xml:space="preserve">The prefix </w:t>
      </w:r>
      <w:r w:rsidR="004445B3" w:rsidRPr="00456602">
        <w:t>“</w:t>
      </w:r>
      <w:r w:rsidRPr="00456602">
        <w:t>non</w:t>
      </w:r>
      <w:r w:rsidR="004445B3" w:rsidRPr="00456602">
        <w:t>”</w:t>
      </w:r>
      <w:r w:rsidRPr="00456602">
        <w:t xml:space="preserve"> is not a word; it should be joined to the word it modifies, usually without a hyphen.</w:t>
      </w:r>
    </w:p>
    <w:p w14:paraId="7F217550" w14:textId="77777777" w:rsidR="008A55B5" w:rsidRPr="00456602" w:rsidRDefault="008A55B5" w:rsidP="008054BC">
      <w:pPr>
        <w:pStyle w:val="bulletlist"/>
      </w:pPr>
      <w:r w:rsidRPr="00456602">
        <w:t xml:space="preserve">There is no period after the </w:t>
      </w:r>
      <w:r w:rsidR="004445B3" w:rsidRPr="00456602">
        <w:t>“</w:t>
      </w:r>
      <w:r w:rsidRPr="00456602">
        <w:t>et</w:t>
      </w:r>
      <w:r w:rsidR="004445B3" w:rsidRPr="00456602">
        <w:t>”</w:t>
      </w:r>
      <w:r w:rsidRPr="00456602">
        <w:t xml:space="preserve"> in the Latin abbreviation </w:t>
      </w:r>
      <w:r w:rsidR="004445B3" w:rsidRPr="00456602">
        <w:t>“</w:t>
      </w:r>
      <w:r w:rsidRPr="00456602">
        <w:t>et al.</w:t>
      </w:r>
      <w:r w:rsidR="004445B3" w:rsidRPr="00456602">
        <w:t>”</w:t>
      </w:r>
    </w:p>
    <w:p w14:paraId="419E7606" w14:textId="77777777" w:rsidR="008A55B5" w:rsidRPr="00456602" w:rsidRDefault="008A55B5" w:rsidP="008054BC">
      <w:pPr>
        <w:pStyle w:val="bulletlist"/>
      </w:pPr>
      <w:r w:rsidRPr="00456602">
        <w:t xml:space="preserve">The abbreviation </w:t>
      </w:r>
      <w:r w:rsidR="004445B3" w:rsidRPr="00456602">
        <w:t>“</w:t>
      </w:r>
      <w:proofErr w:type="gramStart"/>
      <w:r w:rsidRPr="00456602">
        <w:t>i.e.</w:t>
      </w:r>
      <w:proofErr w:type="gramEnd"/>
      <w:r w:rsidR="004445B3" w:rsidRPr="00456602">
        <w:t>”</w:t>
      </w:r>
      <w:r w:rsidRPr="00456602">
        <w:t xml:space="preserve"> means </w:t>
      </w:r>
      <w:r w:rsidR="004445B3" w:rsidRPr="00456602">
        <w:t>“</w:t>
      </w:r>
      <w:r w:rsidRPr="00456602">
        <w:t>that is,</w:t>
      </w:r>
      <w:r w:rsidR="004445B3" w:rsidRPr="00456602">
        <w:t>”</w:t>
      </w:r>
      <w:r w:rsidRPr="00456602">
        <w:t xml:space="preserve"> and the abbreviation </w:t>
      </w:r>
      <w:r w:rsidR="004445B3" w:rsidRPr="00456602">
        <w:t>“</w:t>
      </w:r>
      <w:r w:rsidRPr="00456602">
        <w:t>e.g.</w:t>
      </w:r>
      <w:r w:rsidR="004445B3" w:rsidRPr="00456602">
        <w:t>”</w:t>
      </w:r>
      <w:r w:rsidRPr="00456602">
        <w:t xml:space="preserve"> means </w:t>
      </w:r>
      <w:r w:rsidR="004445B3" w:rsidRPr="00456602">
        <w:t>“</w:t>
      </w:r>
      <w:r w:rsidRPr="00456602">
        <w:t>for example.</w:t>
      </w:r>
      <w:r w:rsidR="004445B3" w:rsidRPr="00456602">
        <w:t>”</w:t>
      </w:r>
    </w:p>
    <w:p w14:paraId="772296AC" w14:textId="77777777" w:rsidR="008A55B5" w:rsidRPr="00456602" w:rsidRDefault="008A55B5" w:rsidP="00753F7B">
      <w:pPr>
        <w:pStyle w:val="BodyText"/>
      </w:pPr>
      <w:r w:rsidRPr="00456602">
        <w:t>An excellent style manual for science writers is [7].</w:t>
      </w:r>
    </w:p>
    <w:p w14:paraId="6C3685D3" w14:textId="77777777" w:rsidR="008A55B5" w:rsidRPr="00456602" w:rsidRDefault="008A55B5" w:rsidP="00EF3A1A">
      <w:pPr>
        <w:pStyle w:val="Heading2"/>
      </w:pPr>
      <w:r w:rsidRPr="00456602">
        <w:t>Authors and Affiliations</w:t>
      </w:r>
    </w:p>
    <w:p w14:paraId="02B8E19F" w14:textId="77777777" w:rsidR="008A55B5" w:rsidRPr="00456602" w:rsidRDefault="008A55B5" w:rsidP="00753F7B">
      <w:pPr>
        <w:pStyle w:val="BodyText"/>
      </w:pPr>
      <w:r w:rsidRPr="00456602">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B44EE2" w14:textId="77777777" w:rsidR="008A55B5" w:rsidRPr="00456602" w:rsidRDefault="008A55B5" w:rsidP="004059FE">
      <w:pPr>
        <w:pStyle w:val="Heading3"/>
      </w:pPr>
      <w:r w:rsidRPr="00456602">
        <w:t>For author/s of only one affiliation (Heading 3):</w:t>
      </w:r>
      <w:r w:rsidRPr="00456602">
        <w:rPr>
          <w:i w:val="0"/>
        </w:rPr>
        <w:t xml:space="preserve"> To change the default, adjust the template as follows.</w:t>
      </w:r>
    </w:p>
    <w:p w14:paraId="6542D778" w14:textId="77777777" w:rsidR="008A55B5" w:rsidRPr="00456602" w:rsidRDefault="008A55B5" w:rsidP="004059FE">
      <w:pPr>
        <w:pStyle w:val="Heading4"/>
      </w:pPr>
      <w:r w:rsidRPr="00456602">
        <w:t>Selection (Heading 4):</w:t>
      </w:r>
      <w:r w:rsidRPr="00456602">
        <w:rPr>
          <w:i w:val="0"/>
        </w:rPr>
        <w:t xml:space="preserve"> Highlight all author and affiliation lines.</w:t>
      </w:r>
    </w:p>
    <w:p w14:paraId="5050FD3C" w14:textId="77777777" w:rsidR="008A55B5" w:rsidRPr="00456602" w:rsidRDefault="008A55B5" w:rsidP="004059FE">
      <w:pPr>
        <w:pStyle w:val="Heading4"/>
      </w:pPr>
      <w:r w:rsidRPr="00456602">
        <w:t xml:space="preserve">Change number of columns: </w:t>
      </w:r>
      <w:r w:rsidRPr="00456602">
        <w:rPr>
          <w:i w:val="0"/>
        </w:rPr>
        <w:t xml:space="preserve">Select the Columns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4E0FD1DE" w14:textId="77777777" w:rsidR="008A55B5" w:rsidRPr="00456602" w:rsidRDefault="008A55B5" w:rsidP="004059FE">
      <w:pPr>
        <w:pStyle w:val="Heading4"/>
      </w:pPr>
      <w:r w:rsidRPr="00456602">
        <w:t xml:space="preserve">Deletion: </w:t>
      </w:r>
      <w:r w:rsidRPr="00456602">
        <w:rPr>
          <w:i w:val="0"/>
        </w:rPr>
        <w:t>Delete the author and affiliation lines for the second affiliation.</w:t>
      </w:r>
    </w:p>
    <w:p w14:paraId="4FF32124" w14:textId="77777777" w:rsidR="008A55B5" w:rsidRPr="00456602" w:rsidRDefault="008A55B5" w:rsidP="004059FE">
      <w:pPr>
        <w:pStyle w:val="Heading3"/>
      </w:pPr>
      <w:r w:rsidRPr="00456602">
        <w:t xml:space="preserve">For author/s of more than two affiliations: </w:t>
      </w:r>
      <w:r w:rsidRPr="00456602">
        <w:rPr>
          <w:i w:val="0"/>
        </w:rPr>
        <w:t>To change the default, adjust the template as follows.</w:t>
      </w:r>
    </w:p>
    <w:p w14:paraId="3D4B46B5" w14:textId="77777777" w:rsidR="008A55B5" w:rsidRPr="00456602" w:rsidRDefault="008A55B5" w:rsidP="004059FE">
      <w:pPr>
        <w:pStyle w:val="Heading4"/>
      </w:pPr>
      <w:r w:rsidRPr="00456602">
        <w:t xml:space="preserve">Selection: </w:t>
      </w:r>
      <w:r w:rsidRPr="00456602">
        <w:rPr>
          <w:i w:val="0"/>
        </w:rPr>
        <w:t>Highlight all author and affiliation lines.</w:t>
      </w:r>
    </w:p>
    <w:p w14:paraId="0BE4656C" w14:textId="77777777" w:rsidR="008A55B5" w:rsidRPr="00456602" w:rsidRDefault="008A55B5" w:rsidP="004059FE">
      <w:pPr>
        <w:pStyle w:val="Heading4"/>
      </w:pPr>
      <w:r w:rsidRPr="00456602">
        <w:t xml:space="preserve">Change number of columns: </w:t>
      </w:r>
      <w:r w:rsidRPr="00456602">
        <w:rPr>
          <w:i w:val="0"/>
        </w:rPr>
        <w:t xml:space="preserve">Select the </w:t>
      </w:r>
      <w:r w:rsidR="004445B3" w:rsidRPr="00456602">
        <w:rPr>
          <w:i w:val="0"/>
        </w:rPr>
        <w:t>“</w:t>
      </w:r>
      <w:r w:rsidRPr="00456602">
        <w:rPr>
          <w:i w:val="0"/>
        </w:rPr>
        <w:t>Columns</w:t>
      </w:r>
      <w:r w:rsidR="004445B3" w:rsidRPr="00456602">
        <w:rPr>
          <w:i w:val="0"/>
        </w:rPr>
        <w:t>”</w:t>
      </w:r>
      <w:r w:rsidRPr="00456602">
        <w:rPr>
          <w:i w:val="0"/>
        </w:rPr>
        <w:t xml:space="preserve">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5413A7A4" w14:textId="77777777" w:rsidR="008A55B5" w:rsidRPr="00456602" w:rsidRDefault="008A55B5" w:rsidP="004059FE">
      <w:pPr>
        <w:pStyle w:val="Heading4"/>
        <w:rPr>
          <w:i w:val="0"/>
        </w:rPr>
      </w:pPr>
      <w:r w:rsidRPr="00456602">
        <w:rPr>
          <w:i w:val="0"/>
        </w:rPr>
        <w:t>Highlight author and affiliation lines of affiliation 1 and copy this selection.</w:t>
      </w:r>
    </w:p>
    <w:p w14:paraId="11131C64" w14:textId="77777777" w:rsidR="008A55B5" w:rsidRPr="00456602" w:rsidRDefault="008A55B5" w:rsidP="004059FE">
      <w:pPr>
        <w:pStyle w:val="Heading4"/>
      </w:pPr>
      <w:r w:rsidRPr="00456602">
        <w:t xml:space="preserve">Formatting: </w:t>
      </w:r>
      <w:r w:rsidRPr="00456602">
        <w:rPr>
          <w:i w:val="0"/>
        </w:rPr>
        <w:t>Insert one hard return immediately after the last character of the last affiliation line. Then paste down the copy of affiliation 1. Repeat as necessary for each additional affiliation.</w:t>
      </w:r>
    </w:p>
    <w:p w14:paraId="2534EBB1" w14:textId="77777777" w:rsidR="008A55B5" w:rsidRPr="00456602" w:rsidRDefault="008A55B5" w:rsidP="004059FE">
      <w:pPr>
        <w:pStyle w:val="Heading4"/>
      </w:pPr>
      <w:r w:rsidRPr="00456602">
        <w:t xml:space="preserve">Reassign number of columns: </w:t>
      </w:r>
      <w:r w:rsidRPr="00456602">
        <w:rPr>
          <w:i w:val="0"/>
        </w:rPr>
        <w:t xml:space="preserve">Place your cursor to the right of the last character of the last affiliation line of an even numbered affiliation (e.g., if there are five affiliations, place your cursor at end of fourth affiliation). Drag the cursor up to highlight </w:t>
      </w:r>
      <w:r w:rsidRPr="00456602">
        <w:rPr>
          <w:i w:val="0"/>
        </w:rPr>
        <w:lastRenderedPageBreak/>
        <w:t xml:space="preserve">all of the above author and affiliation lines. Go to Column icon and select </w:t>
      </w:r>
      <w:r w:rsidR="004445B3" w:rsidRPr="00456602">
        <w:rPr>
          <w:i w:val="0"/>
        </w:rPr>
        <w:t>“</w:t>
      </w:r>
      <w:r w:rsidRPr="00456602">
        <w:rPr>
          <w:i w:val="0"/>
        </w:rPr>
        <w:t>2 Columns</w:t>
      </w:r>
      <w:r w:rsidR="004445B3" w:rsidRPr="00456602">
        <w:rPr>
          <w:i w:val="0"/>
        </w:rPr>
        <w:t>”</w:t>
      </w:r>
      <w:r w:rsidRPr="00456602">
        <w:rPr>
          <w:i w:val="0"/>
        </w:rPr>
        <w:t>. If you have an odd number of affiliations, the final affiliation will be centered on the page; all previous will be in two columns.</w:t>
      </w:r>
    </w:p>
    <w:p w14:paraId="37B08CC6" w14:textId="77777777" w:rsidR="008A55B5" w:rsidRPr="00456602" w:rsidRDefault="008A55B5" w:rsidP="00EF3A1A">
      <w:pPr>
        <w:pStyle w:val="Heading2"/>
      </w:pPr>
      <w:r w:rsidRPr="00456602">
        <w:t>Figures and Tables</w:t>
      </w:r>
    </w:p>
    <w:p w14:paraId="0B155064" w14:textId="77777777" w:rsidR="008A55B5" w:rsidRPr="00456602" w:rsidRDefault="008A55B5" w:rsidP="004059FE">
      <w:pPr>
        <w:pStyle w:val="Heading3"/>
      </w:pPr>
      <w:r w:rsidRPr="00456602">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456602">
        <w:t>“</w:t>
      </w:r>
      <w:r w:rsidRPr="00456602">
        <w:t>Fig. 1,</w:t>
      </w:r>
      <w:r w:rsidR="004445B3" w:rsidRPr="00456602">
        <w:t>”</w:t>
      </w:r>
      <w:r w:rsidRPr="00456602">
        <w:t xml:space="preserve"> even at the beginning of a sentence.</w:t>
      </w:r>
    </w:p>
    <w:p w14:paraId="4BB9B23E" w14:textId="77777777" w:rsidR="008A55B5" w:rsidRPr="00456602" w:rsidRDefault="008A55B5">
      <w:pPr>
        <w:pStyle w:val="tablehead"/>
        <w:rPr>
          <w:rFonts w:eastAsia="MS Mincho"/>
          <w:noProof w:val="0"/>
          <w:spacing w:val="-1"/>
          <w:lang w:val="en-GB"/>
        </w:rPr>
      </w:pPr>
      <w:r w:rsidRPr="00456602">
        <w:rPr>
          <w:lang w:val="en-GB"/>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456602" w14:paraId="587C35EC" w14:textId="77777777">
        <w:trPr>
          <w:cantSplit/>
          <w:trHeight w:val="240"/>
          <w:tblHeader/>
          <w:jc w:val="center"/>
        </w:trPr>
        <w:tc>
          <w:tcPr>
            <w:tcW w:w="720" w:type="dxa"/>
            <w:vMerge w:val="restart"/>
            <w:vAlign w:val="center"/>
          </w:tcPr>
          <w:p w14:paraId="2DF7CAEB" w14:textId="77777777" w:rsidR="008A55B5" w:rsidRPr="00456602" w:rsidRDefault="008A55B5">
            <w:pPr>
              <w:pStyle w:val="tablecolhead"/>
            </w:pPr>
            <w:r w:rsidRPr="00456602">
              <w:t>Table Head</w:t>
            </w:r>
          </w:p>
        </w:tc>
        <w:tc>
          <w:tcPr>
            <w:tcW w:w="4140" w:type="dxa"/>
            <w:gridSpan w:val="3"/>
            <w:vAlign w:val="center"/>
          </w:tcPr>
          <w:p w14:paraId="16305D69" w14:textId="77777777" w:rsidR="008A55B5" w:rsidRPr="00456602" w:rsidRDefault="008A55B5">
            <w:pPr>
              <w:pStyle w:val="tablecolhead"/>
            </w:pPr>
            <w:r w:rsidRPr="00456602">
              <w:t>Table Column Head</w:t>
            </w:r>
          </w:p>
        </w:tc>
      </w:tr>
      <w:tr w:rsidR="008A55B5" w:rsidRPr="00456602" w14:paraId="2EA1BB93" w14:textId="77777777">
        <w:trPr>
          <w:cantSplit/>
          <w:trHeight w:val="240"/>
          <w:tblHeader/>
          <w:jc w:val="center"/>
        </w:trPr>
        <w:tc>
          <w:tcPr>
            <w:tcW w:w="720" w:type="dxa"/>
            <w:vMerge/>
          </w:tcPr>
          <w:p w14:paraId="302D8217" w14:textId="77777777" w:rsidR="008A55B5" w:rsidRPr="00456602" w:rsidRDefault="008A55B5">
            <w:pPr>
              <w:rPr>
                <w:sz w:val="16"/>
                <w:szCs w:val="16"/>
              </w:rPr>
            </w:pPr>
          </w:p>
        </w:tc>
        <w:tc>
          <w:tcPr>
            <w:tcW w:w="2340" w:type="dxa"/>
            <w:vAlign w:val="center"/>
          </w:tcPr>
          <w:p w14:paraId="5CE480A6" w14:textId="77777777" w:rsidR="008A55B5" w:rsidRPr="00456602" w:rsidRDefault="008A55B5">
            <w:pPr>
              <w:pStyle w:val="tablecolsubhead"/>
            </w:pPr>
            <w:r w:rsidRPr="00456602">
              <w:t>Table column subhead</w:t>
            </w:r>
          </w:p>
        </w:tc>
        <w:tc>
          <w:tcPr>
            <w:tcW w:w="900" w:type="dxa"/>
            <w:vAlign w:val="center"/>
          </w:tcPr>
          <w:p w14:paraId="45284768" w14:textId="77777777" w:rsidR="008A55B5" w:rsidRPr="00456602" w:rsidRDefault="008A55B5">
            <w:pPr>
              <w:pStyle w:val="tablecolsubhead"/>
            </w:pPr>
            <w:r w:rsidRPr="00456602">
              <w:t>Subhead</w:t>
            </w:r>
          </w:p>
        </w:tc>
        <w:tc>
          <w:tcPr>
            <w:tcW w:w="900" w:type="dxa"/>
            <w:vAlign w:val="center"/>
          </w:tcPr>
          <w:p w14:paraId="35483839" w14:textId="77777777" w:rsidR="008A55B5" w:rsidRPr="00456602" w:rsidRDefault="008A55B5">
            <w:pPr>
              <w:pStyle w:val="tablecolsubhead"/>
            </w:pPr>
            <w:r w:rsidRPr="00456602">
              <w:t>Subhead</w:t>
            </w:r>
          </w:p>
        </w:tc>
      </w:tr>
      <w:tr w:rsidR="008A55B5" w:rsidRPr="00456602" w14:paraId="5584ECD4" w14:textId="77777777">
        <w:trPr>
          <w:trHeight w:val="320"/>
          <w:jc w:val="center"/>
        </w:trPr>
        <w:tc>
          <w:tcPr>
            <w:tcW w:w="720" w:type="dxa"/>
            <w:vAlign w:val="center"/>
          </w:tcPr>
          <w:p w14:paraId="0DA5BA37" w14:textId="77777777" w:rsidR="008A55B5" w:rsidRPr="00456602" w:rsidRDefault="008A55B5">
            <w:pPr>
              <w:pStyle w:val="tablecopy"/>
              <w:rPr>
                <w:sz w:val="8"/>
                <w:szCs w:val="8"/>
                <w:lang w:val="en-GB"/>
              </w:rPr>
            </w:pPr>
            <w:r w:rsidRPr="00456602">
              <w:rPr>
                <w:lang w:val="en-GB"/>
              </w:rPr>
              <w:t>copy</w:t>
            </w:r>
          </w:p>
        </w:tc>
        <w:tc>
          <w:tcPr>
            <w:tcW w:w="2340" w:type="dxa"/>
            <w:vAlign w:val="center"/>
          </w:tcPr>
          <w:p w14:paraId="29E59238" w14:textId="77777777" w:rsidR="008A55B5" w:rsidRPr="00456602" w:rsidRDefault="008A55B5">
            <w:pPr>
              <w:pStyle w:val="tablecopy"/>
              <w:rPr>
                <w:lang w:val="en-GB"/>
              </w:rPr>
            </w:pPr>
            <w:r w:rsidRPr="00456602">
              <w:rPr>
                <w:lang w:val="en-GB"/>
              </w:rPr>
              <w:t>More table copy</w:t>
            </w:r>
            <w:r w:rsidRPr="00456602">
              <w:rPr>
                <w:vertAlign w:val="superscript"/>
                <w:lang w:val="en-GB"/>
              </w:rPr>
              <w:t>a</w:t>
            </w:r>
          </w:p>
        </w:tc>
        <w:tc>
          <w:tcPr>
            <w:tcW w:w="900" w:type="dxa"/>
            <w:vAlign w:val="center"/>
          </w:tcPr>
          <w:p w14:paraId="672737B2" w14:textId="77777777" w:rsidR="008A55B5" w:rsidRPr="00456602" w:rsidRDefault="008A55B5">
            <w:pPr>
              <w:rPr>
                <w:sz w:val="16"/>
                <w:szCs w:val="16"/>
              </w:rPr>
            </w:pPr>
          </w:p>
        </w:tc>
        <w:tc>
          <w:tcPr>
            <w:tcW w:w="900" w:type="dxa"/>
            <w:vAlign w:val="center"/>
          </w:tcPr>
          <w:p w14:paraId="6690A132" w14:textId="77777777" w:rsidR="008A55B5" w:rsidRPr="00456602" w:rsidRDefault="008A55B5">
            <w:pPr>
              <w:rPr>
                <w:sz w:val="16"/>
                <w:szCs w:val="16"/>
              </w:rPr>
            </w:pPr>
          </w:p>
        </w:tc>
      </w:tr>
    </w:tbl>
    <w:p w14:paraId="789810E3" w14:textId="77777777" w:rsidR="008A55B5" w:rsidRPr="00456602" w:rsidRDefault="008A55B5" w:rsidP="00D948F6">
      <w:pPr>
        <w:pStyle w:val="tablefootnote"/>
        <w:numPr>
          <w:ilvl w:val="0"/>
          <w:numId w:val="0"/>
        </w:numPr>
        <w:ind w:left="360"/>
        <w:jc w:val="center"/>
        <w:rPr>
          <w:lang w:val="en-GB"/>
        </w:rPr>
      </w:pPr>
    </w:p>
    <w:p w14:paraId="7CCCCD19" w14:textId="16017B7C" w:rsidR="008A55B5" w:rsidRPr="00456602" w:rsidRDefault="008A55B5">
      <w:pPr>
        <w:pStyle w:val="figurecaption"/>
        <w:rPr>
          <w:rFonts w:eastAsia="MS Mincho"/>
          <w:lang w:val="en-GB"/>
        </w:rPr>
      </w:pPr>
      <w:r w:rsidRPr="00456602">
        <w:rPr>
          <w:rFonts w:eastAsia="MS Mincho"/>
          <w:lang w:val="en-GB"/>
        </w:rPr>
        <w:t xml:space="preserve">Example of a figure caption. </w:t>
      </w:r>
      <w:r w:rsidRPr="00456602">
        <w:rPr>
          <w:rFonts w:eastAsia="MS Mincho"/>
          <w:i/>
          <w:iCs/>
          <w:lang w:val="en-GB"/>
        </w:rPr>
        <w:t>(figure caption)</w:t>
      </w:r>
      <w:r w:rsidR="00D948F6" w:rsidRPr="00456602">
        <w:rPr>
          <w:rFonts w:eastAsia="MS Mincho"/>
          <w:i/>
          <w:iCs/>
          <w:lang w:val="en-GB"/>
        </w:rPr>
        <w:t xml:space="preserve">: </w:t>
      </w:r>
      <w:r w:rsidR="00D948F6" w:rsidRPr="00456602">
        <w:rPr>
          <w:rFonts w:eastAsia="MS Mincho"/>
          <w:i/>
          <w:iCs/>
          <w:highlight w:val="green"/>
          <w:lang w:val="en-GB"/>
        </w:rPr>
        <w:t>Figure caption goes below the image</w:t>
      </w:r>
    </w:p>
    <w:p w14:paraId="57E52301" w14:textId="77777777" w:rsidR="008A55B5" w:rsidRPr="00456602" w:rsidRDefault="008A55B5" w:rsidP="00753F7B">
      <w:pPr>
        <w:pStyle w:val="BodyText"/>
      </w:pPr>
      <w:r w:rsidRPr="00456602">
        <w:t xml:space="preserve">Figure Labels: Use </w:t>
      </w:r>
      <w:proofErr w:type="gramStart"/>
      <w:r w:rsidRPr="00456602">
        <w:t>8 point</w:t>
      </w:r>
      <w:proofErr w:type="gramEnd"/>
      <w:r w:rsidRPr="00456602">
        <w:t xml:space="preserve"> Times New Roman for Figure labels. Use words rather than symbols or abbreviations when writing Figure axis labels to avoid confusing the reader. As an example, write the quantity </w:t>
      </w:r>
      <w:r w:rsidR="004445B3" w:rsidRPr="00456602">
        <w:t>“</w:t>
      </w:r>
      <w:r w:rsidRPr="00456602">
        <w:t>Magnetization,</w:t>
      </w:r>
      <w:r w:rsidR="004445B3" w:rsidRPr="00456602">
        <w:t>”</w:t>
      </w:r>
      <w:r w:rsidRPr="00456602">
        <w:t xml:space="preserve"> or </w:t>
      </w:r>
      <w:r w:rsidR="004445B3" w:rsidRPr="00456602">
        <w:t>“</w:t>
      </w:r>
      <w:r w:rsidRPr="00456602">
        <w:t>Magnetization, M,</w:t>
      </w:r>
      <w:r w:rsidR="004445B3" w:rsidRPr="00456602">
        <w:t>”</w:t>
      </w:r>
      <w:r w:rsidRPr="00456602">
        <w:t xml:space="preserve"> not just </w:t>
      </w:r>
      <w:r w:rsidR="004445B3" w:rsidRPr="00456602">
        <w:t>“</w:t>
      </w:r>
      <w:r w:rsidRPr="00456602">
        <w:t>M.</w:t>
      </w:r>
      <w:r w:rsidR="004445B3" w:rsidRPr="00456602">
        <w:t>”</w:t>
      </w:r>
      <w:r w:rsidRPr="00456602">
        <w:t xml:space="preserve"> If including units in the label, present them within parentheses. Do not label axes only with units. In the example, write </w:t>
      </w:r>
      <w:r w:rsidR="004445B3" w:rsidRPr="00456602">
        <w:t>“</w:t>
      </w:r>
      <w:r w:rsidRPr="00456602">
        <w:t>Magnetization (A/m)</w:t>
      </w:r>
      <w:r w:rsidR="004445B3" w:rsidRPr="00456602">
        <w:t>”</w:t>
      </w:r>
      <w:r w:rsidRPr="00456602">
        <w:t xml:space="preserve"> or </w:t>
      </w:r>
      <w:r w:rsidR="004445B3" w:rsidRPr="00456602">
        <w:t>“</w:t>
      </w:r>
      <w:r w:rsidRPr="00456602">
        <w:t xml:space="preserve">Magnetization (A </w:t>
      </w:r>
      <w:proofErr w:type="gramStart"/>
      <w:r w:rsidRPr="00456602">
        <w:t>( m</w:t>
      </w:r>
      <w:proofErr w:type="gramEnd"/>
      <w:r w:rsidRPr="00456602">
        <w:t>(1),</w:t>
      </w:r>
      <w:r w:rsidR="004445B3" w:rsidRPr="00456602">
        <w:t>”</w:t>
      </w:r>
      <w:r w:rsidRPr="00456602">
        <w:t xml:space="preserve"> not just </w:t>
      </w:r>
      <w:r w:rsidR="004445B3" w:rsidRPr="00456602">
        <w:t>“</w:t>
      </w:r>
      <w:r w:rsidRPr="00456602">
        <w:t>A/m.</w:t>
      </w:r>
      <w:r w:rsidR="004445B3" w:rsidRPr="00456602">
        <w:t>”</w:t>
      </w:r>
      <w:r w:rsidRPr="00456602">
        <w:t xml:space="preserve"> Do not label axes with a ratio of quantities and units. For example, write </w:t>
      </w:r>
      <w:r w:rsidR="004445B3" w:rsidRPr="00456602">
        <w:t>“</w:t>
      </w:r>
      <w:r w:rsidRPr="00456602">
        <w:t>Temperature (K),</w:t>
      </w:r>
      <w:r w:rsidR="004445B3" w:rsidRPr="00456602">
        <w:t>”</w:t>
      </w:r>
      <w:r w:rsidRPr="00456602">
        <w:t xml:space="preserve"> not </w:t>
      </w:r>
      <w:r w:rsidR="004445B3" w:rsidRPr="00456602">
        <w:t>“</w:t>
      </w:r>
      <w:r w:rsidRPr="00456602">
        <w:t>Temperature/K.</w:t>
      </w:r>
      <w:r w:rsidR="004445B3" w:rsidRPr="00456602">
        <w:t>”</w:t>
      </w:r>
    </w:p>
    <w:p w14:paraId="0C7CBF00" w14:textId="2553605A" w:rsidR="001F28B5" w:rsidRPr="00456602" w:rsidRDefault="00BC3CD0" w:rsidP="00753F7B">
      <w:pPr>
        <w:pStyle w:val="BodyText"/>
      </w:pPr>
      <w:r w:rsidRPr="00456602">
        <w:rPr>
          <w:noProof/>
        </w:rPr>
        <mc:AlternateContent>
          <mc:Choice Requires="wps">
            <w:drawing>
              <wp:anchor distT="0" distB="0" distL="114300" distR="114300" simplePos="0" relativeHeight="251657728" behindDoc="1" locked="0" layoutInCell="1" allowOverlap="1" wp14:anchorId="1FAEE1A3" wp14:editId="2622EFB9">
                <wp:simplePos x="0" y="0"/>
                <wp:positionH relativeFrom="column">
                  <wp:posOffset>1828800</wp:posOffset>
                </wp:positionH>
                <wp:positionV relativeFrom="paragraph">
                  <wp:posOffset>144780</wp:posOffset>
                </wp:positionV>
                <wp:extent cx="3200400" cy="1143000"/>
                <wp:effectExtent l="8890" t="10160" r="10160" b="889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EE1A3" id="_x0000_t202" coordsize="21600,21600" o:spt="202" path="m,l,21600r21600,l21600,xe">
                <v:stroke joinstyle="miter"/>
                <v:path gradientshapeok="t" o:connecttype="rect"/>
              </v:shapetype>
              <v:shape id="Text Box 2" o:spid="_x0000_s1026" type="#_x0000_t202" style="position:absolute;left:0;text-align:left;margin-left:2in;margin-top:11.4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">
                <v:textbo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p w14:paraId="28B80A1D" w14:textId="77777777" w:rsidR="001F28B5" w:rsidRPr="00456602" w:rsidRDefault="001F28B5" w:rsidP="00753F7B">
      <w:pPr>
        <w:pStyle w:val="BodyText"/>
      </w:pPr>
    </w:p>
    <w:p w14:paraId="3768CD55" w14:textId="77777777" w:rsidR="001F28B5" w:rsidRPr="00456602" w:rsidRDefault="001F28B5" w:rsidP="00753F7B">
      <w:pPr>
        <w:pStyle w:val="BodyText"/>
      </w:pPr>
    </w:p>
    <w:p w14:paraId="4A9A04B4" w14:textId="77777777" w:rsidR="001F28B5" w:rsidRPr="00456602" w:rsidRDefault="001F28B5" w:rsidP="00753F7B">
      <w:pPr>
        <w:pStyle w:val="BodyText"/>
      </w:pPr>
    </w:p>
    <w:p w14:paraId="11B34A88" w14:textId="77777777" w:rsidR="001F28B5" w:rsidRPr="00456602" w:rsidRDefault="001F28B5" w:rsidP="00753F7B">
      <w:pPr>
        <w:pStyle w:val="BodyText"/>
      </w:pPr>
    </w:p>
    <w:p w14:paraId="263EEE6B" w14:textId="77777777" w:rsidR="001F28B5" w:rsidRPr="00456602" w:rsidRDefault="001F28B5" w:rsidP="00753F7B">
      <w:pPr>
        <w:pStyle w:val="BodyText"/>
      </w:pPr>
    </w:p>
    <w:p w14:paraId="574D3C63" w14:textId="77777777" w:rsidR="001F28B5" w:rsidRPr="00456602" w:rsidRDefault="001F28B5" w:rsidP="00753F7B">
      <w:pPr>
        <w:pStyle w:val="BodyText"/>
      </w:pPr>
    </w:p>
    <w:p w14:paraId="3F51BA82" w14:textId="77777777" w:rsidR="00EE4362" w:rsidRPr="00456602" w:rsidRDefault="00EE4362" w:rsidP="00EE4362">
      <w:pPr>
        <w:rPr>
          <w:rFonts w:eastAsia="MS Mincho"/>
        </w:rPr>
      </w:pPr>
    </w:p>
    <w:p w14:paraId="3D6CF3CE" w14:textId="77777777" w:rsidR="008A55B5" w:rsidRPr="00456602" w:rsidRDefault="008A55B5">
      <w:pPr>
        <w:pStyle w:val="Heading5"/>
        <w:rPr>
          <w:rFonts w:eastAsia="MS Mincho"/>
        </w:rPr>
      </w:pPr>
      <w:r w:rsidRPr="00456602">
        <w:rPr>
          <w:rFonts w:eastAsia="MS Mincho"/>
        </w:rPr>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440906245">
    <w:abstractNumId w:val="3"/>
  </w:num>
  <w:num w:numId="2" w16cid:durableId="1988508383">
    <w:abstractNumId w:val="7"/>
  </w:num>
  <w:num w:numId="3" w16cid:durableId="1509246934">
    <w:abstractNumId w:val="2"/>
  </w:num>
  <w:num w:numId="4" w16cid:durableId="1339120359">
    <w:abstractNumId w:val="5"/>
  </w:num>
  <w:num w:numId="5" w16cid:durableId="1499468568">
    <w:abstractNumId w:val="5"/>
  </w:num>
  <w:num w:numId="6" w16cid:durableId="85157254">
    <w:abstractNumId w:val="5"/>
  </w:num>
  <w:num w:numId="7" w16cid:durableId="1833983182">
    <w:abstractNumId w:val="5"/>
  </w:num>
  <w:num w:numId="8" w16cid:durableId="954598223">
    <w:abstractNumId w:val="6"/>
  </w:num>
  <w:num w:numId="9" w16cid:durableId="1190725978">
    <w:abstractNumId w:val="8"/>
  </w:num>
  <w:num w:numId="10" w16cid:durableId="1295987725">
    <w:abstractNumId w:val="4"/>
  </w:num>
  <w:num w:numId="11" w16cid:durableId="759569527">
    <w:abstractNumId w:val="1"/>
  </w:num>
  <w:num w:numId="12" w16cid:durableId="1923220892">
    <w:abstractNumId w:val="10"/>
  </w:num>
  <w:num w:numId="13" w16cid:durableId="1794866213">
    <w:abstractNumId w:val="0"/>
  </w:num>
  <w:num w:numId="14" w16cid:durableId="1705667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7317"/>
    <w:rsid w:val="0004390D"/>
    <w:rsid w:val="00056D82"/>
    <w:rsid w:val="0007326B"/>
    <w:rsid w:val="000B4641"/>
    <w:rsid w:val="000C0688"/>
    <w:rsid w:val="00103A8B"/>
    <w:rsid w:val="00105497"/>
    <w:rsid w:val="0010711E"/>
    <w:rsid w:val="001253F5"/>
    <w:rsid w:val="00127EDD"/>
    <w:rsid w:val="001B7650"/>
    <w:rsid w:val="001D0AA1"/>
    <w:rsid w:val="001F28B5"/>
    <w:rsid w:val="001F2E4A"/>
    <w:rsid w:val="00200E57"/>
    <w:rsid w:val="00252745"/>
    <w:rsid w:val="0025278D"/>
    <w:rsid w:val="00265586"/>
    <w:rsid w:val="00276735"/>
    <w:rsid w:val="00280929"/>
    <w:rsid w:val="002864A3"/>
    <w:rsid w:val="002B3B81"/>
    <w:rsid w:val="00316920"/>
    <w:rsid w:val="00331919"/>
    <w:rsid w:val="00351172"/>
    <w:rsid w:val="0039020B"/>
    <w:rsid w:val="003A47B5"/>
    <w:rsid w:val="003A59A6"/>
    <w:rsid w:val="003E0804"/>
    <w:rsid w:val="004059FE"/>
    <w:rsid w:val="004445B3"/>
    <w:rsid w:val="00456602"/>
    <w:rsid w:val="0048429E"/>
    <w:rsid w:val="004C1894"/>
    <w:rsid w:val="0057273D"/>
    <w:rsid w:val="00583085"/>
    <w:rsid w:val="00596DE2"/>
    <w:rsid w:val="005B520E"/>
    <w:rsid w:val="005B535B"/>
    <w:rsid w:val="005D2468"/>
    <w:rsid w:val="006108A4"/>
    <w:rsid w:val="006237BD"/>
    <w:rsid w:val="0065300A"/>
    <w:rsid w:val="006B096F"/>
    <w:rsid w:val="006C4648"/>
    <w:rsid w:val="0072064C"/>
    <w:rsid w:val="007442B3"/>
    <w:rsid w:val="00753F7B"/>
    <w:rsid w:val="0078398E"/>
    <w:rsid w:val="00787C5A"/>
    <w:rsid w:val="007919DE"/>
    <w:rsid w:val="007B50D0"/>
    <w:rsid w:val="007C0308"/>
    <w:rsid w:val="007D603C"/>
    <w:rsid w:val="008014D2"/>
    <w:rsid w:val="008054BC"/>
    <w:rsid w:val="00877CB0"/>
    <w:rsid w:val="008A55B5"/>
    <w:rsid w:val="008A75C8"/>
    <w:rsid w:val="008C71E1"/>
    <w:rsid w:val="0097508D"/>
    <w:rsid w:val="009D2BDC"/>
    <w:rsid w:val="009D78BF"/>
    <w:rsid w:val="009F60AE"/>
    <w:rsid w:val="00A510F7"/>
    <w:rsid w:val="00AA4B21"/>
    <w:rsid w:val="00AB70AD"/>
    <w:rsid w:val="00AC6519"/>
    <w:rsid w:val="00B34CB5"/>
    <w:rsid w:val="00B43ACB"/>
    <w:rsid w:val="00BC3CD0"/>
    <w:rsid w:val="00BC5FEC"/>
    <w:rsid w:val="00BF418B"/>
    <w:rsid w:val="00C62933"/>
    <w:rsid w:val="00CB1404"/>
    <w:rsid w:val="00CB66E6"/>
    <w:rsid w:val="00CE582C"/>
    <w:rsid w:val="00CF3906"/>
    <w:rsid w:val="00D9156D"/>
    <w:rsid w:val="00D948F6"/>
    <w:rsid w:val="00DA79BC"/>
    <w:rsid w:val="00E91219"/>
    <w:rsid w:val="00EA506F"/>
    <w:rsid w:val="00EE4362"/>
    <w:rsid w:val="00EF18D7"/>
    <w:rsid w:val="00EF1E8A"/>
    <w:rsid w:val="00EF3A1A"/>
    <w:rsid w:val="00EF5149"/>
    <w:rsid w:val="00F607C3"/>
    <w:rsid w:val="00F63023"/>
    <w:rsid w:val="00F71C2E"/>
    <w:rsid w:val="00F95BC9"/>
    <w:rsid w:val="00FA29C6"/>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 w:type="paragraph" w:styleId="Caption">
    <w:name w:val="caption"/>
    <w:basedOn w:val="Normal"/>
    <w:next w:val="Normal"/>
    <w:uiPriority w:val="35"/>
    <w:unhideWhenUsed/>
    <w:qFormat/>
    <w:rsid w:val="00484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27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5</cp:revision>
  <dcterms:created xsi:type="dcterms:W3CDTF">2023-11-27T11:40:00Z</dcterms:created>
  <dcterms:modified xsi:type="dcterms:W3CDTF">2023-11-28T09:41:00Z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