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09CD15" w14:paraId="45199D45" wp14:textId="6162A7D0">
      <w:pPr>
        <w:pStyle w:val="Heading1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fi-FI"/>
        </w:rPr>
        <w:t>Näin otat laskurit käyttöösi</w:t>
      </w:r>
    </w:p>
    <w:p xmlns:wp14="http://schemas.microsoft.com/office/word/2010/wordml" w:rsidP="7E228AC6" w14:paraId="1B93DA8B" wp14:textId="65C08CE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</w:pPr>
      <w:r>
        <w:br/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Laskuri on loistava keino esitellä</w:t>
      </w:r>
      <w:r w:rsidRPr="7E228AC6" w:rsidR="0A94D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</w:t>
      </w:r>
      <w:r w:rsidRPr="7E228AC6" w:rsidR="0A94D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asiakkaillesi yrityksesi tarjoamaa joustavaa maks</w:t>
      </w:r>
      <w:r w:rsidRPr="7E228AC6" w:rsidR="0BC47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utapaa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</w:t>
      </w:r>
      <w:r w:rsidRPr="7E228AC6" w:rsidR="27F7EE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Tarjoamme käyttöösi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kolme erilaista laskuria,</w:t>
      </w:r>
      <w:r w:rsidRPr="7E228AC6" w:rsidR="1097EE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</w:t>
      </w:r>
      <w:r w:rsidRPr="7E228AC6" w:rsidR="1097EE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joista voita valita </w:t>
      </w:r>
      <w:r w:rsidRPr="7E228AC6" w:rsidR="265C1D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yrityksesi verkkosivuill</w:t>
      </w:r>
      <w:r w:rsidRPr="7E228AC6" w:rsidR="1233BE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e </w:t>
      </w:r>
      <w:r w:rsidRPr="7E228AC6" w:rsidR="2CF18A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parhaiten </w:t>
      </w:r>
      <w:r w:rsidRPr="7E228AC6" w:rsidR="1233BE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sopiva</w:t>
      </w:r>
      <w:r w:rsidRPr="7E228AC6" w:rsidR="0E7290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t</w:t>
      </w:r>
      <w:r w:rsidRPr="7E228AC6" w:rsidR="1233BE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vaihtoehdo</w:t>
      </w:r>
      <w:r w:rsidRPr="7E228AC6" w:rsidR="58094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t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.</w:t>
      </w:r>
    </w:p>
    <w:p xmlns:wp14="http://schemas.microsoft.com/office/word/2010/wordml" w14:paraId="3667BEDC" wp14:textId="1C76B1A1"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Kaikki laskurit toimivat </w:t>
      </w:r>
      <w:proofErr w:type="spellStart"/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responsiivisesti</w:t>
      </w:r>
      <w:proofErr w:type="spellEnd"/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 eli ne mukautuvat sulavasti käyttäjän laitteen ruudun mittoihin.</w:t>
      </w:r>
    </w:p>
    <w:p xmlns:wp14="http://schemas.microsoft.com/office/word/2010/wordml" w:rsidP="7E228AC6" w14:paraId="659D0B74" wp14:textId="2502C249">
      <w:pPr/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Korkotiedot (marginaali + OP Prime) välittyvät laskuriin automaattisesti.</w:t>
      </w:r>
    </w:p>
    <w:p w:rsidR="7E228AC6" w:rsidP="7E228AC6" w:rsidRDefault="7E228AC6" w14:paraId="6D0A65CE" w14:textId="5B4A5D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</w:p>
    <w:p xmlns:wp14="http://schemas.microsoft.com/office/word/2010/wordml" w:rsidP="4C09CD15" w14:paraId="16027CEC" wp14:textId="45179506">
      <w:pPr>
        <w:pStyle w:val="Heading2"/>
      </w:pP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i-FI"/>
        </w:rPr>
        <w:t>Laskurin edut</w:t>
      </w:r>
    </w:p>
    <w:p w:rsidR="68C3F378" w:rsidP="7E228AC6" w:rsidRDefault="68C3F378" w14:paraId="4C2A2CE9" w14:textId="588049C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7E228AC6" w:rsidR="68C3F3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Uusi ja tehokas asiakashankinnan kanava</w:t>
      </w:r>
      <w:r w:rsidRPr="7E228AC6" w:rsidR="1EC205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, joka kannattaa asettaa sivuille näkyvästi ja helposti löydettäväksi.</w:t>
      </w:r>
    </w:p>
    <w:p w:rsidR="1EC205B1" w:rsidP="7E228AC6" w:rsidRDefault="1EC205B1" w14:paraId="1CBD24E5" w14:textId="602AB4C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7E228AC6" w:rsidR="1EC205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Laskurista saat </w:t>
      </w:r>
      <w:r w:rsidRPr="7E228AC6" w:rsidR="68C3F3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yrityksellesi uuden huippumyyjän</w:t>
      </w:r>
      <w:r w:rsidRPr="7E228AC6" w:rsidR="4EF2F5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.</w:t>
      </w:r>
    </w:p>
    <w:p w:rsidR="6700B8A7" w:rsidP="7E228AC6" w:rsidRDefault="6700B8A7" w14:paraId="13589E6E" w14:textId="379ACD2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7E228AC6" w:rsidR="6700B8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Tavoitat myös asiakkaat, joilla ei ole </w:t>
      </w:r>
      <w:r w:rsidRPr="7E228AC6" w:rsidR="1B0B62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käteisvaroja hankinnan tekemiseen.</w:t>
      </w:r>
    </w:p>
    <w:p w:rsidR="5D6DF39E" w:rsidP="7E228AC6" w:rsidRDefault="5D6DF39E" w14:paraId="73A18822" w14:textId="75D2453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7E228AC6" w:rsidR="5D6DF3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Ostopäätös helpottuu, kun asiakas </w:t>
      </w:r>
      <w:r w:rsidRPr="7E228AC6" w:rsidR="00D1B6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näkee</w:t>
      </w:r>
      <w:r w:rsidRPr="7E228AC6" w:rsidR="09E779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 xml:space="preserve"> </w:t>
      </w:r>
      <w:r w:rsidRPr="7E228AC6" w:rsidR="00D1B6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ostoksen kuukausierän ja voi valita itselleen sopivimman.</w:t>
      </w:r>
    </w:p>
    <w:p xmlns:wp14="http://schemas.microsoft.com/office/word/2010/wordml" w:rsidP="7E228AC6" w14:paraId="5A26F7FB" wp14:textId="4E67A4E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7E228AC6" w:rsidR="5201DE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  <w:t>Kaikkien pankkien asiakkaille.</w:t>
      </w:r>
    </w:p>
    <w:p w:rsidR="7E228AC6" w:rsidP="7E228AC6" w:rsidRDefault="7E228AC6" w14:paraId="6B64F095" w14:textId="0C30E6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i-FI"/>
        </w:rPr>
      </w:pPr>
    </w:p>
    <w:p xmlns:wp14="http://schemas.microsoft.com/office/word/2010/wordml" w:rsidP="4C09CD15" w14:paraId="4CD37719" wp14:textId="300589D4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i-FI"/>
        </w:rPr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i-FI"/>
        </w:rPr>
        <w:t>Laskurin käyttöönotto</w:t>
      </w:r>
      <w:r>
        <w:tab/>
      </w:r>
    </w:p>
    <w:p xmlns:wp14="http://schemas.microsoft.com/office/word/2010/wordml" w14:paraId="7F293149" wp14:textId="4C88228D">
      <w:r w:rsidRPr="7E228AC6" w:rsidR="3BE281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Materiaalit laskureiden käyttöönottoon löydät 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osoittees</w:t>
      </w:r>
      <w:r w:rsidRPr="7E228AC6" w:rsidR="18235A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t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a</w:t>
      </w:r>
      <w:r w:rsidRPr="7E228AC6" w:rsidR="734FEF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:</w:t>
      </w:r>
    </w:p>
    <w:p xmlns:wp14="http://schemas.microsoft.com/office/word/2010/wordml" w14:paraId="53BC8A45" wp14:textId="6B4C85EA">
      <w:hyperlink r:id="R2e5fb0a41f374770">
        <w:r w:rsidRPr="3182442C" w:rsidR="7CD1D03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i-FI"/>
          </w:rPr>
          <w:t>https://kauppiasportaali.fi/kauppias/myra/etusivu</w:t>
        </w:r>
      </w:hyperlink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.</w:t>
      </w:r>
    </w:p>
    <w:p w:rsidR="04BD236F" w:rsidP="3182442C" w:rsidRDefault="04BD236F" w14:paraId="39916907" w14:textId="0FC5EB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3182442C" w:rsidR="04BD2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Teknisen ohjeen ja asennusesimerkin löydät osoitteesta:</w:t>
      </w:r>
    </w:p>
    <w:p w:rsidR="04BD236F" w:rsidP="3182442C" w:rsidRDefault="04BD236F" w14:paraId="55902E88" w14:textId="1D94E0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hyperlink r:id="Rcf210f44b91741ad">
        <w:r w:rsidRPr="3182442C" w:rsidR="04BD236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i-FI"/>
          </w:rPr>
          <w:t>https://kauppiasportaali.fi/tiedostot/106</w:t>
        </w:r>
      </w:hyperlink>
    </w:p>
    <w:p xmlns:wp14="http://schemas.microsoft.com/office/word/2010/wordml" w:rsidP="4C09CD15" w14:paraId="0635E76D" wp14:textId="45830BD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</w:p>
    <w:p xmlns:wp14="http://schemas.microsoft.com/office/word/2010/wordml" w:rsidP="4C09CD15" w14:paraId="0C82B943" wp14:textId="054AFC62">
      <w:pPr>
        <w:pStyle w:val="Heading2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i-FI"/>
        </w:rPr>
        <w:t>Laskurin asetukset</w:t>
      </w:r>
    </w:p>
    <w:p xmlns:wp14="http://schemas.microsoft.com/office/word/2010/wordml" w:rsidP="4C09CD15" w14:paraId="5B4FC626" wp14:textId="27F12BF1">
      <w:pPr>
        <w:pStyle w:val="Heading3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fi-FI"/>
        </w:rPr>
        <w:t>Valitse laskurityyppi kohteen mukaan</w:t>
      </w:r>
    </w:p>
    <w:p xmlns:wp14="http://schemas.microsoft.com/office/word/2010/wordml" w:rsidP="0EE4C9ED" w14:paraId="3084D561" wp14:textId="5EC3AD7F">
      <w:pPr/>
      <w:r w:rsidRPr="0EE4C9E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Voit valita kolmesta erilaisesta laskurityypistä. Valitse laskurityyppi käyttötarkoituksen ja laskurin paikan mukaan. </w:t>
      </w:r>
    </w:p>
    <w:p w:rsidR="0EE4C9ED" w:rsidRDefault="0EE4C9ED" w14:paraId="52E8C817" w14:textId="098D9ED9">
      <w:r>
        <w:br w:type="page"/>
      </w:r>
    </w:p>
    <w:p xmlns:wp14="http://schemas.microsoft.com/office/word/2010/wordml" w:rsidP="4C09CD15" w14:paraId="307ABA6F" wp14:textId="77EDC4BF">
      <w:pPr>
        <w:pStyle w:val="Heading4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  <w:t>Kelluva laskuri – kevyt ja hienovarainen</w:t>
      </w:r>
    </w:p>
    <w:p xmlns:wp14="http://schemas.microsoft.com/office/word/2010/wordml" w14:paraId="60BD57E3" wp14:textId="7F80E340"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Kelluva laskuri on hienovarainen tapa kertoa asiakkaallesi, että yrityksesi tarjoaa rahoitusratkaisuja. Sivuston sivulaitaan tulee nappi, josta klikkaamalla ruudulle aukeaa laskuri.</w:t>
      </w:r>
    </w:p>
    <w:p xmlns:wp14="http://schemas.microsoft.com/office/word/2010/wordml" w14:paraId="0914BFAF" wp14:textId="41BFCBA3">
      <w:r w:rsidR="7CD1D033">
        <w:drawing>
          <wp:inline xmlns:wp14="http://schemas.microsoft.com/office/word/2010/wordprocessingDrawing" wp14:editId="639D98A0" wp14:anchorId="7E96F5A3">
            <wp:extent cx="4933952" cy="3629025"/>
            <wp:effectExtent l="0" t="0" r="0" b="0"/>
            <wp:docPr id="147768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11341d498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9CE593" wp14:textId="74B15811">
      <w:r w:rsidR="7CD1D033">
        <w:drawing>
          <wp:inline xmlns:wp14="http://schemas.microsoft.com/office/word/2010/wordprocessingDrawing" wp14:editId="3A323E18" wp14:anchorId="3FBC98D3">
            <wp:extent cx="4933952" cy="3667125"/>
            <wp:effectExtent l="0" t="0" r="0" b="0"/>
            <wp:docPr id="949347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f2cae2e304b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4C9ED" w:rsidRDefault="0EE4C9ED" w14:paraId="01C63EB4" w14:textId="165E5E33">
      <w:r>
        <w:br w:type="page"/>
      </w:r>
    </w:p>
    <w:p w:rsidR="0EE4C9ED" w:rsidP="0EE4C9ED" w:rsidRDefault="0EE4C9ED" w14:paraId="1FE792C9" w14:textId="72524EEF">
      <w:pPr>
        <w:pStyle w:val="Heading4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</w:pPr>
    </w:p>
    <w:p xmlns:wp14="http://schemas.microsoft.com/office/word/2010/wordml" w:rsidP="4C09CD15" w14:paraId="59FB0F26" wp14:textId="4DAB73AC">
      <w:pPr>
        <w:pStyle w:val="Heading4"/>
      </w:pP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  <w:t xml:space="preserve">Laskuri </w:t>
      </w:r>
      <w:r w:rsidRPr="0BEFA99D" w:rsidR="7BED51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  <w:t xml:space="preserve">erilliselle rahoitussivulle </w:t>
      </w: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  <w:t>– esittelevä</w:t>
      </w:r>
    </w:p>
    <w:p xmlns:wp14="http://schemas.microsoft.com/office/word/2010/wordml" w14:paraId="1D255A06" wp14:textId="77DDC3A1"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Tämä laskurityyppi sopii hyvin </w:t>
      </w:r>
      <w:r w:rsidRPr="0BEFA99D" w:rsidR="1B188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rahoitus</w:t>
      </w: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si</w:t>
      </w:r>
      <w:r w:rsidRPr="0BEFA99D" w:rsidR="14F176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vulle</w:t>
      </w: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, jossa esittelet maksuta</w:t>
      </w:r>
      <w:r w:rsidRPr="0BEFA99D" w:rsidR="2A6AB8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paa</w:t>
      </w:r>
      <w:r w:rsidRPr="0BEFA99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. Sen avulla asiakkaasi voi katsoa, minkälaisia maksuvaihtoehtoja hänelle on tarjolla.</w:t>
      </w:r>
    </w:p>
    <w:p xmlns:wp14="http://schemas.microsoft.com/office/word/2010/wordml" w:rsidP="0EE4C9ED" w14:paraId="619550A4" wp14:textId="511F6FD9">
      <w:pPr/>
      <w:r w:rsidR="7CD1D033">
        <w:drawing>
          <wp:inline xmlns:wp14="http://schemas.microsoft.com/office/word/2010/wordprocessingDrawing" wp14:editId="37578CF2" wp14:anchorId="566A2DCC">
            <wp:extent cx="5724524" cy="4210050"/>
            <wp:effectExtent l="0" t="0" r="0" b="0"/>
            <wp:docPr id="24755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d1f9c05664a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E4C9ED" w14:paraId="44AD1003" wp14:textId="3EB9C1B2">
      <w:pPr/>
      <w:r>
        <w:br w:type="page"/>
      </w:r>
    </w:p>
    <w:p xmlns:wp14="http://schemas.microsoft.com/office/word/2010/wordml" w:rsidP="0EE4C9ED" w14:paraId="5A7E0E3F" wp14:textId="5CD01E14">
      <w:pPr/>
      <w:r w:rsidRPr="0EE4C9E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fi-FI"/>
        </w:rPr>
        <w:t xml:space="preserve">Verkkokauppalaskuri – käytännöllinen </w:t>
      </w:r>
    </w:p>
    <w:p xmlns:wp14="http://schemas.microsoft.com/office/word/2010/wordml" w14:paraId="76C7072F" wp14:textId="2F50CBC6"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Käytä tätä laskurityyppiä verkkokauppasi tuotesivulla tai maksusivulla maksutapojen yhteydessä. Eri tuotteiden hinta voi vaihdella, tai tuotteen hinta saattaa muuttua esim. </w:t>
      </w:r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alasvetovalikon</w:t>
      </w:r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 valinnasta johtuen. Tämä esitystapa vaatii hieman ohjelmointia. Laskurin rahoitusmäärä asetetaan kutsumalla laskuria ohjelmallisesti. </w:t>
      </w:r>
      <w:r w:rsidRPr="3182442C" w:rsidR="022CC9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Teknisen ohjeen ja esimerkin löytää </w:t>
      </w:r>
      <w:hyperlink r:id="R2f79587585504ce7">
        <w:r w:rsidRPr="3182442C" w:rsidR="022CC9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i-FI"/>
          </w:rPr>
          <w:t>täältä</w:t>
        </w:r>
      </w:hyperlink>
      <w:r w:rsidRPr="3182442C" w:rsidR="7CD1D03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.</w:t>
      </w:r>
      <w:r>
        <w:br/>
      </w:r>
    </w:p>
    <w:p xmlns:wp14="http://schemas.microsoft.com/office/word/2010/wordml" w14:paraId="6C2DD6DE" wp14:textId="1ADA8893">
      <w:r w:rsidR="7CD1D033">
        <w:drawing>
          <wp:inline xmlns:wp14="http://schemas.microsoft.com/office/word/2010/wordprocessingDrawing" wp14:editId="106A975D" wp14:anchorId="691564A6">
            <wp:extent cx="5724524" cy="5505452"/>
            <wp:effectExtent l="0" t="0" r="0" b="0"/>
            <wp:docPr id="84518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d9e04e9a849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4C9ED" w:rsidRDefault="0EE4C9ED" w14:paraId="3A798AAF" w14:textId="4D2066B7">
      <w:r>
        <w:br w:type="page"/>
      </w:r>
    </w:p>
    <w:p xmlns:wp14="http://schemas.microsoft.com/office/word/2010/wordml" w:rsidP="4C09CD15" w14:paraId="105657C8" wp14:textId="7C0524FE">
      <w:pPr>
        <w:pStyle w:val="Heading3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fi-FI"/>
        </w:rPr>
        <w:t>Laskurissa näytettävät takaisinmaksuerät</w:t>
      </w:r>
    </w:p>
    <w:p xmlns:wp14="http://schemas.microsoft.com/office/word/2010/wordml" w14:paraId="1F5E8796" wp14:textId="055A2E99"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Voit valita näkyykö laskurin käyttäjälle yksi vai useampi takaisinmaksuerä. </w:t>
      </w:r>
    </w:p>
    <w:p xmlns:wp14="http://schemas.microsoft.com/office/word/2010/wordml" w:rsidP="4C09CD15" w14:paraId="179E39A9" wp14:textId="28A67C5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Asetus </w:t>
      </w:r>
      <w:r w:rsidRPr="4C09CD15" w:rsidR="7CD1D03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Näytä vain pienin maksuerä</w:t>
      </w: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: kuukausierä on 1,7 % rahoituksen määrästä. Jos summa ylittää 10 000 €, on kuukausierä 1,2 % rahoituksen kokonaismäärästä.</w:t>
      </w:r>
    </w:p>
    <w:p xmlns:wp14="http://schemas.microsoft.com/office/word/2010/wordml" w:rsidP="7E228AC6" w14:paraId="4135097A" wp14:textId="4F93CF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Asetus </w:t>
      </w:r>
      <w:r w:rsidRPr="7E228AC6" w:rsidR="7CD1D03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Näytä kaikki maksuerä: </w:t>
      </w: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kaikki seitsemän maksuerävaihtoehtoa asiakkaan valittavana. Kuukausierä on 1,2 % – 9,0 % rahoituksen kokonaismäärästä.</w:t>
      </w:r>
    </w:p>
    <w:p w:rsidR="7E228AC6" w:rsidP="7E228AC6" w:rsidRDefault="7E228AC6" w14:paraId="48E92062" w14:textId="201B590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</w:p>
    <w:p xmlns:wp14="http://schemas.microsoft.com/office/word/2010/wordml" w:rsidP="4C09CD15" w14:paraId="0FA51BEC" wp14:textId="2FEEF1A2">
      <w:pPr>
        <w:pStyle w:val="Heading3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fi-FI"/>
        </w:rPr>
        <w:t>Linkki itsehakukanavaan</w:t>
      </w:r>
    </w:p>
    <w:p xmlns:wp14="http://schemas.microsoft.com/office/word/2010/wordml" w:rsidP="3182442C" w14:paraId="58739701" wp14:textId="380CC0B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  <w:r w:rsidRPr="3182442C" w:rsidR="46B41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Tarvitset l</w:t>
      </w:r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ink</w:t>
      </w:r>
      <w:r w:rsidRPr="3182442C" w:rsidR="46B901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 xml:space="preserve">in yrityksesi </w:t>
      </w:r>
      <w:r w:rsidRPr="3182442C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rahoituspalveluun. Linkki on jompaa kumpaa muotoa:</w:t>
      </w:r>
    </w:p>
    <w:p xmlns:wp14="http://schemas.microsoft.com/office/word/2010/wordml" w:rsidP="7E228AC6" w14:paraId="1BA8B119" wp14:textId="3555E5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lang w:val="fi-FI"/>
        </w:rPr>
        <w:t>https://eficode.pohjola-finance.fi/kertaluotto-uusi/yritysoy</w:t>
      </w:r>
    </w:p>
    <w:p xmlns:wp14="http://schemas.microsoft.com/office/word/2010/wordml" w:rsidP="7E228AC6" w14:paraId="5C8F2DBD" wp14:textId="59E4E2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i-FI"/>
        </w:rPr>
        <w:t>https://eficode.pohjola-finance.fi/tililuotto-uusi/yritysoy</w:t>
      </w:r>
    </w:p>
    <w:p w:rsidR="7E228AC6" w:rsidP="7E228AC6" w:rsidRDefault="7E228AC6" w14:paraId="56B74D2B" w14:textId="3D6771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lang w:val="fi-FI"/>
        </w:rPr>
      </w:pPr>
    </w:p>
    <w:p xmlns:wp14="http://schemas.microsoft.com/office/word/2010/wordml" w:rsidP="4C09CD15" w14:paraId="3D566CE9" wp14:textId="3F2976F2">
      <w:pPr>
        <w:pStyle w:val="Heading3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fi-FI"/>
        </w:rPr>
        <w:t>Linkki rahoituksen lisätietoihin</w:t>
      </w:r>
    </w:p>
    <w:p xmlns:wp14="http://schemas.microsoft.com/office/word/2010/wordml" w14:paraId="59CEA204" wp14:textId="4DB9E265">
      <w:r w:rsidRPr="7E228AC6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Voit halutessasi lisätä laskuriin linkin sivulle, josta asiakas voi tutustua rahoitukseen tarkemmin.</w:t>
      </w:r>
    </w:p>
    <w:p w:rsidR="7E228AC6" w:rsidP="7E228AC6" w:rsidRDefault="7E228AC6" w14:paraId="49B48C7C" w14:textId="6C9113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</w:pPr>
    </w:p>
    <w:p xmlns:wp14="http://schemas.microsoft.com/office/word/2010/wordml" w:rsidP="4C09CD15" w14:paraId="03802896" wp14:textId="111982E1">
      <w:pPr>
        <w:pStyle w:val="Heading3"/>
      </w:pPr>
      <w:r w:rsidRPr="4C09CD15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fi-FI"/>
        </w:rPr>
        <w:t>Laskurin korostusväri</w:t>
      </w:r>
    </w:p>
    <w:p xmlns:wp14="http://schemas.microsoft.com/office/word/2010/wordml" w14:paraId="61543CE5" wp14:textId="12EBDD7C">
      <w:r w:rsidRPr="0EE4C9ED" w:rsidR="7CD1D0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i-FI"/>
        </w:rPr>
        <w:t>Voit valita brändisi mukaisen värin.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DC2E2"/>
    <w:rsid w:val="00D1B6A3"/>
    <w:rsid w:val="022CC9B8"/>
    <w:rsid w:val="04BD236F"/>
    <w:rsid w:val="05A2B689"/>
    <w:rsid w:val="09E779E8"/>
    <w:rsid w:val="0A590061"/>
    <w:rsid w:val="0A8F5009"/>
    <w:rsid w:val="0A94DFAF"/>
    <w:rsid w:val="0BC47D1B"/>
    <w:rsid w:val="0BEFA99D"/>
    <w:rsid w:val="0C2B206A"/>
    <w:rsid w:val="0DC6F0CB"/>
    <w:rsid w:val="0E7290CC"/>
    <w:rsid w:val="0EE4C9ED"/>
    <w:rsid w:val="0F62C12C"/>
    <w:rsid w:val="1097EE3E"/>
    <w:rsid w:val="1233BE9F"/>
    <w:rsid w:val="142A9C5F"/>
    <w:rsid w:val="1460D1F1"/>
    <w:rsid w:val="14F17689"/>
    <w:rsid w:val="18235AD7"/>
    <w:rsid w:val="1B0B622B"/>
    <w:rsid w:val="1B1887C2"/>
    <w:rsid w:val="1BC3D668"/>
    <w:rsid w:val="1D5FA6C9"/>
    <w:rsid w:val="1EC205B1"/>
    <w:rsid w:val="23F303EB"/>
    <w:rsid w:val="265C1DC1"/>
    <w:rsid w:val="27F7EE22"/>
    <w:rsid w:val="29392C07"/>
    <w:rsid w:val="2A6AB869"/>
    <w:rsid w:val="2B7D09D6"/>
    <w:rsid w:val="2CF18A64"/>
    <w:rsid w:val="2D18DA37"/>
    <w:rsid w:val="2DD0393E"/>
    <w:rsid w:val="31443DEC"/>
    <w:rsid w:val="3182442C"/>
    <w:rsid w:val="31AB604F"/>
    <w:rsid w:val="31F438E0"/>
    <w:rsid w:val="34D829C6"/>
    <w:rsid w:val="39FF4AC5"/>
    <w:rsid w:val="3AB4D08A"/>
    <w:rsid w:val="3BE2818D"/>
    <w:rsid w:val="40097C4E"/>
    <w:rsid w:val="468686EA"/>
    <w:rsid w:val="46B4132B"/>
    <w:rsid w:val="46B90188"/>
    <w:rsid w:val="480E9A29"/>
    <w:rsid w:val="493CBC87"/>
    <w:rsid w:val="4AE94A8F"/>
    <w:rsid w:val="4C09CD15"/>
    <w:rsid w:val="4EF2F57D"/>
    <w:rsid w:val="50AF4FB5"/>
    <w:rsid w:val="5201DE1E"/>
    <w:rsid w:val="5632BBCC"/>
    <w:rsid w:val="58094D37"/>
    <w:rsid w:val="5D6DF39E"/>
    <w:rsid w:val="645D9730"/>
    <w:rsid w:val="6700B8A7"/>
    <w:rsid w:val="67341451"/>
    <w:rsid w:val="68C3F378"/>
    <w:rsid w:val="68FD50CD"/>
    <w:rsid w:val="734FEFC3"/>
    <w:rsid w:val="79A9251A"/>
    <w:rsid w:val="7BED512C"/>
    <w:rsid w:val="7CD1D033"/>
    <w:rsid w:val="7DDDC2E2"/>
    <w:rsid w:val="7E22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C2E2"/>
  <w15:chartTrackingRefBased/>
  <w15:docId w15:val="{8E2B82D8-2C1B-40D7-BB23-4598873EC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611341d49846be" /><Relationship Type="http://schemas.openxmlformats.org/officeDocument/2006/relationships/numbering" Target="numbering.xml" Id="R72aef24635044acf" /><Relationship Type="http://schemas.openxmlformats.org/officeDocument/2006/relationships/image" Target="/media/image5.png" Id="Rb48f2cae2e304b0c" /><Relationship Type="http://schemas.openxmlformats.org/officeDocument/2006/relationships/image" Target="/media/image6.png" Id="Recfd1f9c05664a01" /><Relationship Type="http://schemas.openxmlformats.org/officeDocument/2006/relationships/image" Target="/media/image7.png" Id="Rc38d9e04e9a849f4" /><Relationship Type="http://schemas.openxmlformats.org/officeDocument/2006/relationships/hyperlink" Target="https://kauppiasportaali.fi/kauppias/myra/etusivu" TargetMode="External" Id="R2e5fb0a41f374770" /><Relationship Type="http://schemas.openxmlformats.org/officeDocument/2006/relationships/hyperlink" Target="https://kauppiasportaali.fi/tiedostot/106" TargetMode="External" Id="Rcf210f44b91741ad" /><Relationship Type="http://schemas.openxmlformats.org/officeDocument/2006/relationships/hyperlink" Target="https://kauppiasportaali.fi/tiedostot/106" TargetMode="External" Id="R2f79587585504c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2021-10-12T11:23:33.1165942Z</dcterms:created>
  <dcterms:modified xsi:type="dcterms:W3CDTF">2021-11-25T13:00:34.7840813Z</dcterms:modified>
  <dc:creator>Tawast Sampo</dc:creator>
  <lastModifiedBy>Tawast Sampo</lastModifiedBy>
</coreProperties>
</file>