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address -- address.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cadaster -- Cadaster unit based on Maa-amet cadaster definition.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latitude -- Geographical latitude.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 xml:space="preserve">longitude -- Geographical longitude.</w:t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x -- L-EST97 X axis.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y -- L-EST97 Y axis.</w:t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  <w:t xml:space="preserve">max_current -- maximum electricity strength (current in kW) allowed at that location.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