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B0F1" w14:textId="6D7AC217" w:rsidR="001F097B" w:rsidRPr="001F097B" w:rsidRDefault="001F097B" w:rsidP="001F097B">
      <w:pPr>
        <w:spacing w:line="276" w:lineRule="auto"/>
        <w:jc w:val="right"/>
        <w:rPr>
          <w:rFonts w:eastAsiaTheme="minorEastAsia"/>
          <w:iCs/>
          <w:sz w:val="20"/>
          <w:szCs w:val="20"/>
        </w:rPr>
      </w:pPr>
      <w:r w:rsidRPr="001F097B">
        <w:rPr>
          <w:rFonts w:eastAsiaTheme="minorEastAsia"/>
          <w:iCs/>
          <w:sz w:val="20"/>
          <w:szCs w:val="20"/>
        </w:rPr>
        <w:t xml:space="preserve">Elisa Bruni &amp; Lorenzo </w:t>
      </w:r>
      <w:proofErr w:type="spellStart"/>
      <w:r w:rsidRPr="001F097B">
        <w:rPr>
          <w:rFonts w:eastAsiaTheme="minorEastAsia"/>
          <w:iCs/>
          <w:sz w:val="20"/>
          <w:szCs w:val="20"/>
        </w:rPr>
        <w:t>Menichetti</w:t>
      </w:r>
      <w:proofErr w:type="spellEnd"/>
      <w:r w:rsidRPr="001F097B">
        <w:rPr>
          <w:rFonts w:eastAsiaTheme="minorEastAsia"/>
          <w:iCs/>
          <w:sz w:val="20"/>
          <w:szCs w:val="20"/>
        </w:rPr>
        <w:t>, 17 February 2023</w:t>
      </w:r>
    </w:p>
    <w:p w14:paraId="50FAD3A7" w14:textId="651E206C" w:rsidR="004779C4" w:rsidRPr="00B754E9" w:rsidRDefault="004779C4" w:rsidP="00B754E9">
      <w:pPr>
        <w:spacing w:line="276" w:lineRule="auto"/>
        <w:rPr>
          <w:rFonts w:eastAsiaTheme="minorEastAsia"/>
          <w:b/>
          <w:bCs/>
          <w:iCs/>
          <w:sz w:val="20"/>
          <w:szCs w:val="20"/>
        </w:rPr>
      </w:pPr>
      <w:r w:rsidRPr="00B754E9">
        <w:rPr>
          <w:rFonts w:eastAsiaTheme="minorEastAsia"/>
          <w:b/>
          <w:bCs/>
          <w:iCs/>
          <w:sz w:val="20"/>
          <w:szCs w:val="20"/>
        </w:rPr>
        <w:t>Idea</w:t>
      </w:r>
      <w:r w:rsidRPr="00B754E9">
        <w:rPr>
          <w:rFonts w:eastAsiaTheme="minorEastAsia"/>
          <w:b/>
          <w:bCs/>
          <w:iCs/>
          <w:sz w:val="20"/>
          <w:szCs w:val="20"/>
        </w:rPr>
        <w:t xml:space="preserve"> on how to study initialization vs model structural uncertainty</w:t>
      </w:r>
      <w:r w:rsidR="00B754E9">
        <w:rPr>
          <w:rFonts w:eastAsiaTheme="minorEastAsia"/>
          <w:b/>
          <w:bCs/>
          <w:iCs/>
          <w:sz w:val="20"/>
          <w:szCs w:val="20"/>
        </w:rPr>
        <w:t xml:space="preserve"> (see </w:t>
      </w:r>
      <w:r w:rsidR="00B754E9">
        <w:rPr>
          <w:rFonts w:eastAsiaTheme="minorEastAsia"/>
          <w:b/>
          <w:bCs/>
          <w:iCs/>
          <w:sz w:val="20"/>
          <w:szCs w:val="20"/>
        </w:rPr>
        <w:t>Sierra et al., 20</w:t>
      </w:r>
      <w:r w:rsidR="00B754E9">
        <w:rPr>
          <w:rFonts w:eastAsiaTheme="minorEastAsia"/>
          <w:b/>
          <w:bCs/>
          <w:iCs/>
          <w:sz w:val="20"/>
          <w:szCs w:val="20"/>
        </w:rPr>
        <w:t>09; Sierra et al., 2015)</w:t>
      </w:r>
    </w:p>
    <w:p w14:paraId="694A28C7" w14:textId="67C708C8" w:rsidR="00E803D6" w:rsidRPr="00B754E9" w:rsidRDefault="004779C4" w:rsidP="00B754E9">
      <w:pPr>
        <w:spacing w:line="276" w:lineRule="auto"/>
        <w:rPr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dC(t)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dt</m:t>
            </m:r>
          </m:den>
        </m:f>
        <m:r>
          <w:rPr>
            <w:rFonts w:ascii="Cambria Math" w:hAnsi="Cambria Math"/>
            <w:sz w:val="20"/>
            <w:szCs w:val="20"/>
          </w:rPr>
          <m:t>=I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+A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C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 w:rsidRPr="004779C4">
        <w:rPr>
          <w:sz w:val="20"/>
          <w:szCs w:val="20"/>
        </w:rPr>
        <w:t xml:space="preserve"> </w:t>
      </w:r>
    </w:p>
    <w:p w14:paraId="706E689B" w14:textId="0E13A871" w:rsidR="00E803D6" w:rsidRPr="00B754E9" w:rsidRDefault="00E803D6" w:rsidP="00B754E9">
      <w:pPr>
        <w:spacing w:line="276" w:lineRule="auto"/>
        <w:rPr>
          <w:rFonts w:eastAsiaTheme="minorEastAsia"/>
          <w:sz w:val="20"/>
          <w:szCs w:val="20"/>
        </w:rPr>
      </w:pPr>
      <w:r w:rsidRPr="00B754E9">
        <w:rPr>
          <w:sz w:val="20"/>
          <w:szCs w:val="20"/>
        </w:rPr>
        <w:t xml:space="preserve">Where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A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ξ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TK</m:t>
        </m:r>
      </m:oMath>
    </w:p>
    <w:p w14:paraId="03BA1AE9" w14:textId="48E3B8AE" w:rsidR="004779C4" w:rsidRPr="00B754E9" w:rsidRDefault="004779C4" w:rsidP="00B754E9">
      <w:pPr>
        <w:pStyle w:val="ListParagraph"/>
        <w:numPr>
          <w:ilvl w:val="0"/>
          <w:numId w:val="3"/>
        </w:numPr>
        <w:spacing w:line="276" w:lineRule="auto"/>
        <w:rPr>
          <w:rFonts w:eastAsiaTheme="minorEastAsia"/>
          <w:iCs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dC(t)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dt</m:t>
            </m:r>
          </m:den>
        </m:f>
        <m:r>
          <w:rPr>
            <w:rFonts w:ascii="Cambria Math" w:hAnsi="Cambria Math"/>
            <w:sz w:val="20"/>
            <w:szCs w:val="20"/>
          </w:rPr>
          <m:t>=I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+ξ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TK</m:t>
        </m:r>
        <m:r>
          <w:rPr>
            <w:rFonts w:ascii="Cambria Math" w:hAnsi="Cambria Math"/>
            <w:sz w:val="20"/>
            <w:szCs w:val="20"/>
          </w:rPr>
          <m:t>C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 w:rsidR="00E803D6" w:rsidRPr="00B754E9">
        <w:rPr>
          <w:rFonts w:eastAsiaTheme="minorEastAsia"/>
          <w:iCs/>
          <w:sz w:val="20"/>
          <w:szCs w:val="20"/>
        </w:rPr>
        <w:t xml:space="preserve"> </w:t>
      </w:r>
    </w:p>
    <w:p w14:paraId="2CD7B01E" w14:textId="7C9227F4" w:rsidR="00E803D6" w:rsidRPr="004779C4" w:rsidRDefault="00E803D6" w:rsidP="00B754E9">
      <w:pPr>
        <w:spacing w:line="276" w:lineRule="auto"/>
        <w:rPr>
          <w:rFonts w:eastAsiaTheme="minorEastAsia"/>
          <w:iCs/>
          <w:sz w:val="20"/>
          <w:szCs w:val="20"/>
        </w:rPr>
      </w:pPr>
      <w:r w:rsidRPr="00B754E9">
        <w:rPr>
          <w:rFonts w:eastAsiaTheme="minorEastAsia"/>
          <w:iCs/>
          <w:sz w:val="20"/>
          <w:szCs w:val="20"/>
        </w:rPr>
        <w:t xml:space="preserve">Where </w:t>
      </w:r>
      <w:r w:rsidRPr="00B754E9">
        <w:rPr>
          <w:rFonts w:eastAsiaTheme="minorEastAsia"/>
          <w:b/>
          <w:bCs/>
          <w:iCs/>
          <w:sz w:val="20"/>
          <w:szCs w:val="20"/>
        </w:rPr>
        <w:t>T</w:t>
      </w:r>
      <w:r w:rsidRPr="00B754E9">
        <w:rPr>
          <w:rFonts w:eastAsiaTheme="minorEastAsia"/>
          <w:iCs/>
          <w:sz w:val="20"/>
          <w:szCs w:val="20"/>
        </w:rPr>
        <w:t xml:space="preserve"> is the transfer coefficient matrix and </w:t>
      </w:r>
      <w:r w:rsidRPr="00B754E9">
        <w:rPr>
          <w:rFonts w:eastAsiaTheme="minorEastAsia"/>
          <w:b/>
          <w:bCs/>
          <w:iCs/>
          <w:sz w:val="20"/>
          <w:szCs w:val="20"/>
        </w:rPr>
        <w:t>K</w:t>
      </w:r>
      <w:r w:rsidRPr="00B754E9">
        <w:rPr>
          <w:rFonts w:eastAsiaTheme="minorEastAsia"/>
          <w:iCs/>
          <w:sz w:val="20"/>
          <w:szCs w:val="20"/>
        </w:rPr>
        <w:t xml:space="preserve"> is the decomposition rates matrix</w:t>
      </w:r>
    </w:p>
    <w:p w14:paraId="45D5B7EC" w14:textId="3A54EBCD" w:rsidR="004779C4" w:rsidRPr="004779C4" w:rsidRDefault="004779C4" w:rsidP="00B754E9">
      <w:pPr>
        <w:numPr>
          <w:ilvl w:val="0"/>
          <w:numId w:val="1"/>
        </w:numPr>
        <w:spacing w:line="276" w:lineRule="auto"/>
        <w:rPr>
          <w:sz w:val="20"/>
          <w:szCs w:val="20"/>
        </w:rPr>
      </w:pPr>
      <w:r w:rsidRPr="004779C4">
        <w:rPr>
          <w:sz w:val="20"/>
          <w:szCs w:val="20"/>
        </w:rPr>
        <w:t xml:space="preserve">Matrix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TK</m:t>
        </m:r>
      </m:oMath>
      <w:r w:rsidRPr="004779C4">
        <w:rPr>
          <w:sz w:val="20"/>
          <w:szCs w:val="20"/>
        </w:rPr>
        <w:t xml:space="preserve"> contains constant coefficients defining </w:t>
      </w:r>
      <w:r w:rsidRPr="004779C4">
        <w:rPr>
          <w:b/>
          <w:bCs/>
          <w:sz w:val="20"/>
          <w:szCs w:val="20"/>
        </w:rPr>
        <w:t>model structure</w:t>
      </w:r>
    </w:p>
    <w:p w14:paraId="14AF641B" w14:textId="289A43BA" w:rsidR="00796DED" w:rsidRPr="00B754E9" w:rsidRDefault="004779C4" w:rsidP="00E803D6">
      <w:pPr>
        <w:pStyle w:val="ListParagraph"/>
        <w:rPr>
          <w:rFonts w:eastAsiaTheme="minorEastAsia"/>
          <w:sz w:val="20"/>
          <w:szCs w:val="20"/>
        </w:rPr>
      </w:pPr>
      <m:oMath>
        <m:f>
          <m:fPr>
            <m:type m:val="lin"/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4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5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</m:e>
                  </m:mr>
                </m:m>
              </m:e>
            </m:d>
          </m:num>
          <m:den>
            <m:r>
              <w:rPr>
                <w:rFonts w:ascii="Cambria Math" w:hAnsi="Cambria Math"/>
                <w:sz w:val="20"/>
                <w:szCs w:val="20"/>
              </w:rPr>
              <m:t>dt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I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+</m:t>
        </m:r>
        <m:r>
          <w:rPr>
            <w:rFonts w:ascii="Cambria Math" w:hAnsi="Cambria Math"/>
            <w:sz w:val="20"/>
            <w:szCs w:val="20"/>
          </w:rPr>
          <m:t>ξ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∙</m:t>
        </m:r>
        <m:limUpp>
          <m:limUp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limUppPr>
          <m:e>
            <m:groupChr>
              <m:groupChrPr>
                <m:chr m:val="⏞"/>
                <m:pos m:val="top"/>
                <m:vertJc m:val="bot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groupChr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p1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p2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p3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p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p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5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-1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p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p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7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p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8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p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p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10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-1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p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11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p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12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p1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3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p1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p1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5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p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16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p1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7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p1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8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p1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p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20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4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5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groupChr>
          </m:e>
          <m:lim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TK</m:t>
            </m:r>
          </m:lim>
        </m:limUpp>
        <m:r>
          <w:rPr>
            <w:rFonts w:ascii="Cambria Math" w:hAnsi="Cambria Math"/>
            <w:sz w:val="20"/>
            <w:szCs w:val="20"/>
          </w:rPr>
          <m:t>∙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5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mr>
            </m:m>
          </m:e>
        </m:d>
      </m:oMath>
      <w:r w:rsidR="00E803D6" w:rsidRPr="00B754E9">
        <w:rPr>
          <w:rFonts w:eastAsiaTheme="minorEastAsia"/>
          <w:sz w:val="20"/>
          <w:szCs w:val="20"/>
        </w:rPr>
        <w:t xml:space="preserve"> </w:t>
      </w:r>
    </w:p>
    <w:p w14:paraId="0CD28916" w14:textId="77777777" w:rsidR="00FD0674" w:rsidRPr="00B754E9" w:rsidRDefault="00FD0674" w:rsidP="00FD0674">
      <w:pPr>
        <w:rPr>
          <w:sz w:val="20"/>
          <w:szCs w:val="20"/>
        </w:rPr>
      </w:pPr>
    </w:p>
    <w:p w14:paraId="43C5B6E8" w14:textId="0896F6CD" w:rsidR="00D82C57" w:rsidRPr="00B754E9" w:rsidRDefault="00D82C57" w:rsidP="00FD0674">
      <w:pPr>
        <w:rPr>
          <w:sz w:val="20"/>
          <w:szCs w:val="20"/>
        </w:rPr>
      </w:pPr>
      <w:r w:rsidRPr="00B754E9">
        <w:rPr>
          <w:sz w:val="20"/>
          <w:szCs w:val="20"/>
        </w:rPr>
        <w:t>Under condition that:</w:t>
      </w:r>
    </w:p>
    <w:p w14:paraId="66036827" w14:textId="356441A7" w:rsidR="00D82C57" w:rsidRPr="00B754E9" w:rsidRDefault="00D82C57" w:rsidP="00FD0674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/>
            <w:sz w:val="20"/>
            <w:szCs w:val="20"/>
          </w:rPr>
          <m:t>≥0</m:t>
        </m:r>
      </m:oMath>
      <w:r w:rsidRPr="00B754E9">
        <w:rPr>
          <w:rFonts w:eastAsiaTheme="minorEastAsia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/>
            <w:sz w:val="20"/>
            <w:szCs w:val="20"/>
          </w:rPr>
          <m:t>≥0</m:t>
        </m:r>
      </m:oMath>
    </w:p>
    <w:p w14:paraId="0AE645C8" w14:textId="453B7336" w:rsidR="00B754E9" w:rsidRPr="00B754E9" w:rsidRDefault="00D82C57" w:rsidP="00B754E9">
      <w:pPr>
        <w:rPr>
          <w:sz w:val="20"/>
          <w:szCs w:val="20"/>
        </w:rPr>
      </w:pPr>
      <w:r w:rsidRPr="00B754E9">
        <w:rPr>
          <w:sz w:val="20"/>
          <w:szCs w:val="20"/>
        </w:rPr>
        <w:t>These equations describe systems with different number of pools: in parallel, in series and with feedbacks.</w:t>
      </w:r>
    </w:p>
    <w:p w14:paraId="5ADA4762" w14:textId="77777777" w:rsidR="00B754E9" w:rsidRDefault="00B754E9" w:rsidP="00FD0674">
      <w:pPr>
        <w:rPr>
          <w:sz w:val="20"/>
          <w:szCs w:val="20"/>
        </w:rPr>
      </w:pPr>
    </w:p>
    <w:p w14:paraId="4EE236BF" w14:textId="3F0FC3E0" w:rsidR="00FD0674" w:rsidRPr="00B754E9" w:rsidRDefault="00E803D6" w:rsidP="00FD0674">
      <w:pPr>
        <w:rPr>
          <w:rFonts w:eastAsiaTheme="minorEastAsia"/>
          <w:sz w:val="20"/>
          <w:szCs w:val="20"/>
        </w:rPr>
      </w:pPr>
      <w:r w:rsidRPr="00B754E9">
        <w:rPr>
          <w:sz w:val="20"/>
          <w:szCs w:val="20"/>
        </w:rPr>
        <w:t xml:space="preserve">To solve model equations, it is necessary to obtain a vector of initial conditions for the SOC stocks in each pool,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FD0674" w:rsidRPr="00B754E9">
        <w:rPr>
          <w:rFonts w:eastAsiaTheme="minorEastAsia"/>
          <w:sz w:val="20"/>
          <w:szCs w:val="20"/>
        </w:rPr>
        <w:t xml:space="preserve">, where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0≤</m:t>
            </m:r>
            <m:r>
              <w:rPr>
                <w:rFonts w:ascii="Cambria Math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≤</m:t>
        </m:r>
        <m:r>
          <w:rPr>
            <w:rFonts w:ascii="Cambria Math" w:eastAsiaTheme="minorEastAsia" w:hAnsi="Cambria Math"/>
            <w:sz w:val="20"/>
            <w:szCs w:val="20"/>
          </w:rPr>
          <m:t>1</m:t>
        </m:r>
      </m:oMath>
      <w:r w:rsidR="00FD0674" w:rsidRPr="00B754E9">
        <w:rPr>
          <w:rFonts w:eastAsiaTheme="minorEastAsia"/>
          <w:sz w:val="20"/>
          <w:szCs w:val="20"/>
        </w:rPr>
        <w:t>.</w:t>
      </w:r>
    </w:p>
    <w:p w14:paraId="60CEA900" w14:textId="578F2A16" w:rsidR="00FD0674" w:rsidRPr="00B754E9" w:rsidRDefault="00FD0674" w:rsidP="00FD0674">
      <w:pPr>
        <w:rPr>
          <w:rFonts w:eastAsiaTheme="minorEastAsia"/>
          <w:sz w:val="20"/>
          <w:szCs w:val="20"/>
        </w:rPr>
      </w:pPr>
      <w:r w:rsidRPr="00B754E9">
        <w:rPr>
          <w:rFonts w:eastAsiaTheme="minorEastAsia"/>
          <w:sz w:val="20"/>
          <w:szCs w:val="20"/>
        </w:rPr>
        <w:t>Then, it is necessary to determine the initial conditions, i.e., the proportion of C in each pool at t=0 (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Pr="00B754E9">
        <w:rPr>
          <w:rFonts w:eastAsiaTheme="minorEastAsia"/>
          <w:sz w:val="20"/>
          <w:szCs w:val="20"/>
        </w:rPr>
        <w:t>) and the transfer coefficients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i,j</m:t>
            </m:r>
          </m:sub>
        </m:sSub>
      </m:oMath>
      <w:r w:rsidRPr="00B754E9">
        <w:rPr>
          <w:rFonts w:eastAsiaTheme="minorEastAsia"/>
          <w:sz w:val="20"/>
          <w:szCs w:val="20"/>
        </w:rPr>
        <w:t>) to fit data.</w:t>
      </w:r>
    </w:p>
    <w:p w14:paraId="7BBD5D61" w14:textId="6D404981" w:rsidR="003B1858" w:rsidRPr="00B754E9" w:rsidRDefault="003B1858" w:rsidP="00FD0674">
      <w:pPr>
        <w:rPr>
          <w:rFonts w:eastAsiaTheme="minorEastAsia"/>
          <w:sz w:val="20"/>
          <w:szCs w:val="20"/>
        </w:rPr>
      </w:pPr>
    </w:p>
    <w:p w14:paraId="61C5F67D" w14:textId="55A34480" w:rsidR="003B1858" w:rsidRPr="00B754E9" w:rsidRDefault="00D82C57" w:rsidP="00FD0674">
      <w:pPr>
        <w:rPr>
          <w:rFonts w:eastAsiaTheme="minorEastAsia"/>
          <w:sz w:val="20"/>
          <w:szCs w:val="20"/>
        </w:rPr>
      </w:pPr>
      <w:r w:rsidRPr="00B754E9">
        <w:rPr>
          <w:rFonts w:eastAsiaTheme="minorEastAsia"/>
          <w:sz w:val="20"/>
          <w:szCs w:val="20"/>
          <w:u w:val="single"/>
        </w:rPr>
        <w:t>We</w:t>
      </w:r>
      <w:r w:rsidRPr="00B754E9">
        <w:rPr>
          <w:rFonts w:eastAsiaTheme="minorEastAsia"/>
          <w:sz w:val="20"/>
          <w:szCs w:val="20"/>
          <w:u w:val="single"/>
        </w:rPr>
        <w:t xml:space="preserve"> assume I(t) = 0</w:t>
      </w:r>
      <w:r w:rsidRPr="00B754E9">
        <w:rPr>
          <w:rFonts w:eastAsiaTheme="minorEastAsia"/>
          <w:sz w:val="20"/>
          <w:szCs w:val="20"/>
        </w:rPr>
        <w:t xml:space="preserve"> (e.g., bare fallows)</w:t>
      </w:r>
      <w:r w:rsidRPr="00B754E9">
        <w:rPr>
          <w:rFonts w:eastAsiaTheme="minorEastAsia"/>
          <w:sz w:val="20"/>
          <w:szCs w:val="20"/>
        </w:rPr>
        <w:t xml:space="preserve"> </w:t>
      </w:r>
      <w:r w:rsidR="00B754E9" w:rsidRPr="00B754E9">
        <w:rPr>
          <w:rFonts w:eastAsiaTheme="minorEastAsia"/>
          <w:sz w:val="20"/>
          <w:szCs w:val="20"/>
        </w:rPr>
        <w:t>(if I(t)=0 doesn’t hold, then you also need to optimize the transfer coefficients of I in the different pools, and set it to 0 when the pool j is removed)</w:t>
      </w:r>
    </w:p>
    <w:p w14:paraId="557EE8C1" w14:textId="77777777" w:rsidR="00B754E9" w:rsidRDefault="00B754E9" w:rsidP="00B754E9">
      <w:pPr>
        <w:rPr>
          <w:rFonts w:eastAsiaTheme="minorEastAsia"/>
          <w:sz w:val="20"/>
          <w:szCs w:val="20"/>
          <w:u w:val="single"/>
        </w:rPr>
      </w:pPr>
    </w:p>
    <w:p w14:paraId="416FED42" w14:textId="56ECCCF0" w:rsidR="00B754E9" w:rsidRPr="00B754E9" w:rsidRDefault="00B754E9" w:rsidP="00B754E9">
      <w:pPr>
        <w:rPr>
          <w:rFonts w:eastAsiaTheme="minorEastAsia"/>
          <w:sz w:val="20"/>
          <w:szCs w:val="20"/>
          <w:u w:val="single"/>
        </w:rPr>
      </w:pPr>
      <w:r w:rsidRPr="00B754E9">
        <w:rPr>
          <w:rFonts w:eastAsiaTheme="minorEastAsia"/>
          <w:sz w:val="20"/>
          <w:szCs w:val="20"/>
          <w:u w:val="single"/>
        </w:rPr>
        <w:t>Structural properties:</w:t>
      </w:r>
    </w:p>
    <w:p w14:paraId="7DEDCA13" w14:textId="77777777" w:rsidR="00B754E9" w:rsidRPr="00B754E9" w:rsidRDefault="00B754E9" w:rsidP="00B754E9">
      <w:pPr>
        <w:pStyle w:val="ListParagraph"/>
        <w:numPr>
          <w:ilvl w:val="0"/>
          <w:numId w:val="2"/>
        </w:numPr>
        <w:rPr>
          <w:rFonts w:eastAsiaTheme="minorEastAsia"/>
          <w:sz w:val="20"/>
          <w:szCs w:val="20"/>
        </w:rPr>
      </w:pPr>
      <w:r w:rsidRPr="00B754E9">
        <w:rPr>
          <w:rFonts w:eastAsiaTheme="minorEastAsia"/>
          <w:sz w:val="20"/>
          <w:szCs w:val="20"/>
        </w:rPr>
        <w:t xml:space="preserve">When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i,j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=0 and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j,i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=0</m:t>
        </m:r>
      </m:oMath>
      <w:r w:rsidRPr="00B754E9">
        <w:rPr>
          <w:rFonts w:eastAsiaTheme="minorEastAsia"/>
          <w:sz w:val="20"/>
          <w:szCs w:val="20"/>
        </w:rPr>
        <w:t xml:space="preserve">, pool </w:t>
      </w:r>
      <w:proofErr w:type="spellStart"/>
      <w:r w:rsidRPr="00B754E9">
        <w:rPr>
          <w:rFonts w:eastAsiaTheme="minorEastAsia"/>
          <w:sz w:val="20"/>
          <w:szCs w:val="20"/>
        </w:rPr>
        <w:t>i</w:t>
      </w:r>
      <w:proofErr w:type="spellEnd"/>
      <w:r w:rsidRPr="00B754E9">
        <w:rPr>
          <w:rFonts w:eastAsiaTheme="minorEastAsia"/>
          <w:sz w:val="20"/>
          <w:szCs w:val="20"/>
        </w:rPr>
        <w:t xml:space="preserve"> and j do not exchange C.</w:t>
      </w:r>
    </w:p>
    <w:p w14:paraId="266E3796" w14:textId="77777777" w:rsidR="00B754E9" w:rsidRPr="00B754E9" w:rsidRDefault="00B754E9" w:rsidP="00B754E9">
      <w:pPr>
        <w:pStyle w:val="ListParagraph"/>
        <w:numPr>
          <w:ilvl w:val="0"/>
          <w:numId w:val="2"/>
        </w:numPr>
        <w:rPr>
          <w:rFonts w:eastAsiaTheme="minorEastAsia"/>
          <w:sz w:val="20"/>
          <w:szCs w:val="20"/>
        </w:rPr>
      </w:pPr>
      <w:r w:rsidRPr="00B754E9">
        <w:rPr>
          <w:rFonts w:eastAsiaTheme="minorEastAsia"/>
          <w:sz w:val="20"/>
          <w:szCs w:val="20"/>
        </w:rPr>
        <w:t xml:space="preserve">When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i,j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=0 ∀ i=1,…,n and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j,j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=0 ∀ j=1,…,n</m:t>
        </m:r>
      </m:oMath>
      <w:r w:rsidRPr="00B754E9">
        <w:rPr>
          <w:rFonts w:eastAsiaTheme="minorEastAsia"/>
          <w:sz w:val="20"/>
          <w:szCs w:val="20"/>
        </w:rPr>
        <w:t xml:space="preserve"> (with n=number of pools), then pool j is unconnected to all the other pools. </w:t>
      </w:r>
    </w:p>
    <w:p w14:paraId="6D57328E" w14:textId="77777777" w:rsidR="00B754E9" w:rsidRPr="00B754E9" w:rsidRDefault="00B754E9" w:rsidP="00B754E9">
      <w:pPr>
        <w:pStyle w:val="ListParagraph"/>
        <w:numPr>
          <w:ilvl w:val="1"/>
          <w:numId w:val="2"/>
        </w:numPr>
        <w:rPr>
          <w:rFonts w:eastAsiaTheme="minorEastAsia"/>
          <w:sz w:val="20"/>
          <w:szCs w:val="20"/>
        </w:rPr>
      </w:pPr>
      <w:r w:rsidRPr="00B754E9">
        <w:rPr>
          <w:rFonts w:eastAsiaTheme="minorEastAsia"/>
          <w:sz w:val="20"/>
          <w:szCs w:val="20"/>
        </w:rPr>
        <w:t xml:space="preserve">If, in addition, </w:t>
      </w:r>
      <m:oMath>
        <m:r>
          <w:rPr>
            <w:rFonts w:ascii="Cambria Math" w:hAnsi="Cambria Math"/>
            <w:sz w:val="20"/>
            <w:szCs w:val="20"/>
          </w:rPr>
          <m:t>α</m:t>
        </m:r>
      </m:oMath>
      <w:r w:rsidRPr="00B754E9">
        <w:rPr>
          <w:rFonts w:eastAsiaTheme="minorEastAsia"/>
          <w:sz w:val="20"/>
          <w:szCs w:val="20"/>
          <w:vertAlign w:val="subscript"/>
        </w:rPr>
        <w:t>j</w:t>
      </w:r>
      <w:r w:rsidRPr="00B754E9">
        <w:rPr>
          <w:rFonts w:eastAsiaTheme="minorEastAsia"/>
          <w:sz w:val="20"/>
          <w:szCs w:val="20"/>
        </w:rPr>
        <w:t xml:space="preserve">=0, because I(t) </w:t>
      </w:r>
      <w:proofErr w:type="gramStart"/>
      <w:r w:rsidRPr="00B754E9">
        <w:rPr>
          <w:rFonts w:eastAsiaTheme="minorEastAsia"/>
          <w:sz w:val="20"/>
          <w:szCs w:val="20"/>
        </w:rPr>
        <w:t>is</w:t>
      </w:r>
      <w:proofErr w:type="gramEnd"/>
      <w:r w:rsidRPr="00B754E9">
        <w:rPr>
          <w:rFonts w:eastAsiaTheme="minorEastAsia"/>
          <w:sz w:val="20"/>
          <w:szCs w:val="20"/>
        </w:rPr>
        <w:t xml:space="preserve"> also 0, the pool is “removed” from the system</w:t>
      </w:r>
    </w:p>
    <w:p w14:paraId="72C62DF3" w14:textId="7BA26A9F" w:rsidR="003B1858" w:rsidRPr="00B754E9" w:rsidRDefault="003B1858" w:rsidP="003B1858">
      <w:pPr>
        <w:rPr>
          <w:rFonts w:eastAsiaTheme="minorEastAsia"/>
          <w:sz w:val="20"/>
          <w:szCs w:val="20"/>
        </w:rPr>
      </w:pPr>
    </w:p>
    <w:p w14:paraId="58FD2AD9" w14:textId="20F4E21E" w:rsidR="00D82C57" w:rsidRDefault="003B1858" w:rsidP="003B1858">
      <w:pPr>
        <w:rPr>
          <w:rFonts w:eastAsiaTheme="minorEastAsia"/>
          <w:sz w:val="20"/>
          <w:szCs w:val="20"/>
        </w:rPr>
      </w:pPr>
      <w:r w:rsidRPr="00B754E9">
        <w:rPr>
          <w:rFonts w:eastAsiaTheme="minorEastAsia"/>
          <w:sz w:val="20"/>
          <w:szCs w:val="20"/>
        </w:rPr>
        <w:t xml:space="preserve">By optimizing </w:t>
      </w:r>
      <m:oMath>
        <m:r>
          <w:rPr>
            <w:rFonts w:ascii="Cambria Math" w:hAnsi="Cambria Math"/>
            <w:sz w:val="20"/>
            <w:szCs w:val="20"/>
          </w:rPr>
          <m:t>α</m:t>
        </m:r>
      </m:oMath>
      <w:r w:rsidRPr="00B754E9">
        <w:rPr>
          <w:rFonts w:eastAsiaTheme="minorEastAsia"/>
          <w:sz w:val="20"/>
          <w:szCs w:val="20"/>
          <w:vertAlign w:val="subscript"/>
        </w:rPr>
        <w:t>j</w:t>
      </w:r>
      <w:r w:rsidRPr="00B754E9">
        <w:rPr>
          <w:rFonts w:eastAsiaTheme="minorEastAsia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i,j</m:t>
            </m:r>
          </m:sub>
        </m:sSub>
      </m:oMath>
      <w:r w:rsidRPr="00B754E9">
        <w:rPr>
          <w:rFonts w:eastAsiaTheme="minorEastAsia"/>
          <w:sz w:val="20"/>
          <w:szCs w:val="20"/>
        </w:rPr>
        <w:t>, and allowing them to be 0, we can vary the structure of the model X times (X depending on the number of pools)</w:t>
      </w:r>
      <w:r w:rsidR="00D82C57" w:rsidRPr="00B754E9">
        <w:rPr>
          <w:rFonts w:eastAsiaTheme="minorEastAsia"/>
          <w:sz w:val="20"/>
          <w:szCs w:val="20"/>
        </w:rPr>
        <w:t>, where:</w:t>
      </w:r>
      <w:r w:rsidR="00B754E9">
        <w:rPr>
          <w:rFonts w:eastAsiaTheme="minorEastAsia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X=</m:t>
        </m:r>
        <m:r>
          <w:rPr>
            <w:rFonts w:ascii="Cambria Math" w:eastAsiaTheme="minorEastAsia" w:hAnsi="Cambria Math"/>
            <w:sz w:val="20"/>
            <w:szCs w:val="20"/>
          </w:rPr>
          <m:t>?</m:t>
        </m:r>
      </m:oMath>
    </w:p>
    <w:p w14:paraId="6D936F23" w14:textId="77777777" w:rsidR="00B754E9" w:rsidRPr="00B754E9" w:rsidRDefault="00B754E9" w:rsidP="003B1858">
      <w:pPr>
        <w:rPr>
          <w:rFonts w:eastAsiaTheme="minorEastAsia"/>
          <w:sz w:val="20"/>
          <w:szCs w:val="20"/>
        </w:rPr>
      </w:pPr>
    </w:p>
    <w:p w14:paraId="2D2F7BA6" w14:textId="4C1B948A" w:rsidR="00FD0674" w:rsidRDefault="003B1858" w:rsidP="00FD0674">
      <w:pPr>
        <w:rPr>
          <w:rFonts w:eastAsiaTheme="minorEastAsia"/>
          <w:sz w:val="20"/>
          <w:szCs w:val="20"/>
        </w:rPr>
      </w:pPr>
      <w:r w:rsidRPr="00B754E9">
        <w:rPr>
          <w:rFonts w:eastAsiaTheme="minorEastAsia"/>
          <w:sz w:val="20"/>
          <w:szCs w:val="20"/>
        </w:rPr>
        <w:t xml:space="preserve">Then, we can </w:t>
      </w:r>
      <w:r w:rsidRPr="00B754E9">
        <w:rPr>
          <w:rFonts w:eastAsiaTheme="minorEastAsia"/>
          <w:sz w:val="20"/>
          <w:szCs w:val="20"/>
        </w:rPr>
        <w:t>separate</w:t>
      </w:r>
      <w:r w:rsidRPr="00B754E9">
        <w:rPr>
          <w:rFonts w:eastAsiaTheme="minorEastAsia"/>
          <w:sz w:val="20"/>
          <w:szCs w:val="20"/>
        </w:rPr>
        <w:t>, study and rank the effect of initialization and structure on the model predictions.</w:t>
      </w:r>
    </w:p>
    <w:p w14:paraId="591E51AA" w14:textId="77777777" w:rsidR="00B754E9" w:rsidRPr="004779C4" w:rsidRDefault="00B754E9" w:rsidP="00FD0674">
      <w:pPr>
        <w:rPr>
          <w:rFonts w:eastAsiaTheme="minorEastAsia"/>
          <w:sz w:val="20"/>
          <w:szCs w:val="20"/>
        </w:rPr>
      </w:pPr>
    </w:p>
    <w:p w14:paraId="5480D762" w14:textId="4C6EEDCD" w:rsidR="00E803D6" w:rsidRDefault="00B754E9" w:rsidP="00E803D6">
      <w:r w:rsidRPr="00B754E9">
        <w:drawing>
          <wp:inline distT="0" distB="0" distL="0" distR="0" wp14:anchorId="56A5B3B4" wp14:editId="6C8F7C6C">
            <wp:extent cx="6015972" cy="2127441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8786" cy="219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3D6" w:rsidSect="000B1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C5926"/>
    <w:multiLevelType w:val="hybridMultilevel"/>
    <w:tmpl w:val="9BCEB5C4"/>
    <w:lvl w:ilvl="0" w:tplc="A8AEBF6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0CC0CC" w:tentative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F4CBFEE" w:tentative="1">
      <w:start w:val="1"/>
      <w:numFmt w:val="bullet"/>
      <w:lvlText w:val="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886EE28" w:tentative="1">
      <w:start w:val="1"/>
      <w:numFmt w:val="bullet"/>
      <w:lvlText w:val="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92F26C" w:tentative="1">
      <w:start w:val="1"/>
      <w:numFmt w:val="bullet"/>
      <w:lvlText w:val="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9048DC0" w:tentative="1">
      <w:start w:val="1"/>
      <w:numFmt w:val="bullet"/>
      <w:lvlText w:val="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72039D4" w:tentative="1">
      <w:start w:val="1"/>
      <w:numFmt w:val="bullet"/>
      <w:lvlText w:val="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AD622B6" w:tentative="1">
      <w:start w:val="1"/>
      <w:numFmt w:val="bullet"/>
      <w:lvlText w:val="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92E210" w:tentative="1">
      <w:start w:val="1"/>
      <w:numFmt w:val="bullet"/>
      <w:lvlText w:val="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A9C5A2A"/>
    <w:multiLevelType w:val="hybridMultilevel"/>
    <w:tmpl w:val="F28ED63C"/>
    <w:lvl w:ilvl="0" w:tplc="3FD8C0D6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52681"/>
    <w:multiLevelType w:val="hybridMultilevel"/>
    <w:tmpl w:val="FC200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4180767">
    <w:abstractNumId w:val="0"/>
  </w:num>
  <w:num w:numId="2" w16cid:durableId="1642924159">
    <w:abstractNumId w:val="2"/>
  </w:num>
  <w:num w:numId="3" w16cid:durableId="2397506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9C4"/>
    <w:rsid w:val="000060B7"/>
    <w:rsid w:val="000B184C"/>
    <w:rsid w:val="000F7BC7"/>
    <w:rsid w:val="001B7221"/>
    <w:rsid w:val="001D5CE5"/>
    <w:rsid w:val="001F097B"/>
    <w:rsid w:val="00227927"/>
    <w:rsid w:val="003B1858"/>
    <w:rsid w:val="003E4DAC"/>
    <w:rsid w:val="003F7BEE"/>
    <w:rsid w:val="00456B64"/>
    <w:rsid w:val="004779C4"/>
    <w:rsid w:val="004F1979"/>
    <w:rsid w:val="00657371"/>
    <w:rsid w:val="00667E83"/>
    <w:rsid w:val="006B27B1"/>
    <w:rsid w:val="00740F38"/>
    <w:rsid w:val="009D2234"/>
    <w:rsid w:val="00A642FA"/>
    <w:rsid w:val="00AB14C0"/>
    <w:rsid w:val="00B754E9"/>
    <w:rsid w:val="00BB58C3"/>
    <w:rsid w:val="00BF0C6A"/>
    <w:rsid w:val="00BF6E70"/>
    <w:rsid w:val="00C37E2F"/>
    <w:rsid w:val="00CE0F2B"/>
    <w:rsid w:val="00D82C57"/>
    <w:rsid w:val="00D971EC"/>
    <w:rsid w:val="00E042A5"/>
    <w:rsid w:val="00E179D1"/>
    <w:rsid w:val="00E64DC0"/>
    <w:rsid w:val="00E803D6"/>
    <w:rsid w:val="00FA1888"/>
    <w:rsid w:val="00FD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F39377"/>
  <w15:chartTrackingRefBased/>
  <w15:docId w15:val="{5FDE6143-A0B7-E74C-BC8A-892EB7E33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9C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803D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B754E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0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17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5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2023-02-17T13:23:00Z</dcterms:created>
  <dcterms:modified xsi:type="dcterms:W3CDTF">2023-02-17T15:36:00Z</dcterms:modified>
</cp:coreProperties>
</file>