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Appendix C: </w:t>
      </w:r>
      <w:r>
        <w:rPr>
          <w:rFonts w:ascii="Times New Roman" w:hAnsi="Times New Roman"/>
          <w:b w:val="1"/>
          <w:bCs w:val="1"/>
          <w:i w:val="0"/>
          <w:iCs w:val="0"/>
          <w:sz w:val="24"/>
          <w:szCs w:val="24"/>
          <w:rtl w:val="0"/>
          <w:lang w:val="en-US"/>
        </w:rPr>
        <w:t>Learning outcome for all variables</w:t>
      </w:r>
    </w:p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  <w:lang w:val="en-US"/>
        </w:rPr>
        <w:drawing>
          <wp:inline distT="0" distB="0" distL="0" distR="0">
            <wp:extent cx="8715434" cy="429352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21 at 19.31.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5434" cy="4293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firstLine="567"/>
        <w:jc w:val="both"/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drawing>
          <wp:inline distT="0" distB="0" distL="0" distR="0">
            <wp:extent cx="9278567" cy="470377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3-21 at 19.34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78567" cy="470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