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p>
    <w:p>
      <w:pPr>
        <w:pStyle w:val="Title"/>
      </w:pPr>
      <w:r>
        <w:t>TestPilot 1C</w:t>
      </w:r>
    </w:p>
    <w:p>
      <w:pPr>
        <w:pStyle w:val="Subtitle"/>
      </w:pPr>
      <w:r>
        <w:t>Запуск в Docker,</w:t>
        <w:br/>
        <w:t>использование и демонстрация</w:t>
      </w:r>
    </w:p>
    <w:p>
      <w:pPr>
        <w:spacing w:after="500"/>
      </w:pPr>
      <w:r>
        <w:t>Пошаговое руководство для пользователя</w:t>
        <w:br/>
        <w:t>без предварительного опыта работы с сервисом</w:t>
      </w:r>
    </w:p>
    <w:p>
      <w:r>
        <w:rPr>
          <w:b/>
        </w:rPr>
        <w:t>Windows · Docker Desktop · Compose · Playwright</w:t>
      </w:r>
    </w:p>
    <w:p>
      <w:r>
        <w:t>Версия руководства: 23 октября 2026 года</w:t>
      </w:r>
    </w:p>
    <w:p>
      <w:r>
        <w:t xml:space="preserve">Репозиторий: </w:t>
      </w:r>
      <w:hyperlink r:id="rId11">
        <w:r>
          <w:rPr>
            <w:color w:val="2457B7"/>
          </w:rPr>
          <w:t>https://github.com/ilnurcode/testpilot_1c</w:t>
        </w:r>
      </w:hyperlink>
      <w:r/>
    </w:p>
    <w:p>
      <w:pPr>
        <w:spacing w:before="400"/>
        <w:shd w:fill="FFF3D6"/>
      </w:pPr>
      <w:r>
        <w:t>Все процессы запускаются в Docker. Нужна только установка Docker Desktop. Живая 1С/OData и разбор бинарных выгрузок пока не подключены.</w:t>
      </w:r>
    </w:p>
    <w:p>
      <w:r>
        <w:br w:type="page"/>
      </w:r>
    </w:p>
    <w:p>
      <w:pPr>
        <w:pStyle w:val="Heading1"/>
      </w:pPr>
      <w:r>
        <w:t>Содержание</w:t>
      </w:r>
    </w:p>
    <w:p>
      <w:r>
        <w:t>Начните с раздела 1 и выполняйте команды по порядку. Ссылки ниже ведут к соответствующим разделам.</w:t>
      </w:r>
    </w:p>
    <w:p>
      <w:pPr>
        <w:spacing w:after="120"/>
      </w:pPr>
      <w:hyperlink w:anchor="section_0">
        <w:r>
          <w:rPr>
            <w:color w:val="2457B7"/>
          </w:rPr>
          <w:t>1. Установите Docker Desktop</w:t>
        </w:r>
      </w:hyperlink>
    </w:p>
    <w:p>
      <w:pPr>
        <w:spacing w:after="120"/>
      </w:pPr>
      <w:hyperlink w:anchor="section_1">
        <w:r>
          <w:rPr>
            <w:color w:val="2457B7"/>
          </w:rPr>
          <w:t>2. Скачайте проект</w:t>
        </w:r>
      </w:hyperlink>
    </w:p>
    <w:p>
      <w:pPr>
        <w:spacing w:after="120"/>
      </w:pPr>
      <w:hyperlink w:anchor="section_2">
        <w:r>
          <w:rPr>
            <w:color w:val="2457B7"/>
          </w:rPr>
          <w:t>3. Запустите TestPilot</w:t>
        </w:r>
      </w:hyperlink>
    </w:p>
    <w:p>
      <w:pPr>
        <w:spacing w:after="120"/>
      </w:pPr>
      <w:hyperlink w:anchor="section_3">
        <w:r>
          <w:rPr>
            <w:color w:val="2457B7"/>
          </w:rPr>
          <w:t>4. Что происходит при запуске</w:t>
        </w:r>
      </w:hyperlink>
    </w:p>
    <w:p>
      <w:pPr>
        <w:spacing w:after="120"/>
      </w:pPr>
      <w:hyperlink w:anchor="section_4">
        <w:r>
          <w:rPr>
            <w:color w:val="2457B7"/>
          </w:rPr>
          <w:t>5. Первый вход</w:t>
        </w:r>
      </w:hyperlink>
    </w:p>
    <w:p>
      <w:pPr>
        <w:spacing w:after="120"/>
      </w:pPr>
      <w:hyperlink w:anchor="section_5">
        <w:r>
          <w:rPr>
            <w:color w:val="2457B7"/>
          </w:rPr>
          <w:t>6. Работа в интерфейсе</w:t>
        </w:r>
      </w:hyperlink>
    </w:p>
    <w:p>
      <w:pPr>
        <w:spacing w:after="120"/>
      </w:pPr>
      <w:hyperlink w:anchor="section_6">
        <w:r>
          <w:rPr>
            <w:color w:val="2457B7"/>
          </w:rPr>
          <w:t>7. Демонстрация на 7–10 минут</w:t>
        </w:r>
      </w:hyperlink>
    </w:p>
    <w:p>
      <w:pPr>
        <w:spacing w:after="120"/>
      </w:pPr>
      <w:hyperlink w:anchor="section_7">
        <w:r>
          <w:rPr>
            <w:color w:val="2457B7"/>
          </w:rPr>
          <w:t>8. Нейросеть — необязательная настройка</w:t>
        </w:r>
      </w:hyperlink>
    </w:p>
    <w:p>
      <w:pPr>
        <w:spacing w:after="120"/>
      </w:pPr>
      <w:hyperlink w:anchor="section_8">
        <w:r>
          <w:rPr>
            <w:color w:val="2457B7"/>
          </w:rPr>
          <w:t>9. Остановка и повторный запуск</w:t>
        </w:r>
      </w:hyperlink>
    </w:p>
    <w:p>
      <w:pPr>
        <w:spacing w:after="120"/>
      </w:pPr>
      <w:hyperlink w:anchor="section_9">
        <w:r>
          <w:rPr>
            <w:color w:val="2457B7"/>
          </w:rPr>
          <w:t>10. Обновление проекта</w:t>
        </w:r>
      </w:hyperlink>
    </w:p>
    <w:p>
      <w:pPr>
        <w:spacing w:after="120"/>
      </w:pPr>
      <w:hyperlink w:anchor="section_10">
        <w:r>
          <w:rPr>
            <w:color w:val="2457B7"/>
          </w:rPr>
          <w:t>11. Устранение ошибок</w:t>
        </w:r>
      </w:hyperlink>
    </w:p>
    <w:p>
      <w:pPr>
        <w:spacing w:after="120"/>
      </w:pPr>
      <w:hyperlink w:anchor="section_11">
        <w:r>
          <w:rPr>
            <w:color w:val="2457B7"/>
          </w:rPr>
          <w:t>Контрольный список перед передачей или показом</w:t>
        </w:r>
      </w:hyperlink>
    </w:p>
    <w:p>
      <w:pPr>
        <w:spacing w:after="120"/>
      </w:pPr>
      <w:hyperlink w:anchor="section_12">
        <w:r>
          <w:rPr>
            <w:color w:val="2457B7"/>
          </w:rPr>
          <w:t>Проверенная база и границы руководства</w:t>
        </w:r>
      </w:hyperlink>
    </w:p>
    <w:p>
      <w:r>
        <w:br w:type="page"/>
      </w:r>
    </w:p>
    <w:p>
      <w:bookmarkStart w:id="0" w:name="section_0"/>
      <w:pPr>
        <w:pStyle w:val="Heading1"/>
      </w:pPr>
      <w:r>
        <w:t>1. Установите Docker Desktop</w:t>
      </w:r>
      <w:bookmarkEnd w:id="0"/>
    </w:p>
    <w:p>
      <w:pPr>
        <w:pStyle w:val="ListParagraph"/>
      </w:pPr>
      <w:r>
        <w:t xml:space="preserve">1. Перейдите на официальный сайт: </w:t>
      </w:r>
      <w:hyperlink r:id="rId12">
        <w:r>
          <w:rPr>
            <w:color w:val="2457B7"/>
          </w:rPr>
          <w:t>https://docs.docker.com/desktop/setup/install/windows-install/</w:t>
        </w:r>
      </w:hyperlink>
      <w:r/>
    </w:p>
    <w:p>
      <w:pPr>
        <w:pStyle w:val="ListParagraph"/>
      </w:pPr>
      <w:r>
        <w:t>2. Установите Docker Desktop. Примите условия лицензии и выберите рекомендованный WSL2 backend.</w:t>
      </w:r>
    </w:p>
    <w:p>
      <w:pPr>
        <w:pStyle w:val="ListParagraph"/>
      </w:pPr>
      <w:r>
        <w:t>3. Перезагрузите компьютер, если установщик попросит.</w:t>
      </w:r>
    </w:p>
    <w:p>
      <w:pPr>
        <w:pStyle w:val="ListParagraph"/>
      </w:pPr>
      <w:r>
        <w:t>4. Запустите Docker Desktop через меню «Пуск» и дождитесь, пока движок будет готов.</w:t>
      </w:r>
    </w:p>
    <w:p>
      <w:pPr>
        <w:pStyle w:val="ListParagraph"/>
      </w:pPr>
      <w:r>
        <w:t>5. Убедитесь, что выбран режим **Linux containers**. В меню Docker возле часов пункт **Switch to Windows containers** означает, что Linux-режим уже выбран.</w:t>
      </w:r>
    </w:p>
    <w:p>
      <w:r>
        <w:t>При установке Docker может потребоваться аппаратная виртуализация. Если Docker сообщает о WSL, попробуйте обновить WSL через предложенную самим Docker подсказку. На рабочем компьютере для изменения системных настроек может понадобиться администратор.</w:t>
      </w:r>
    </w:p>
    <w:p>
      <w:bookmarkStart w:id="1" w:name="section_1"/>
      <w:pPr>
        <w:pStyle w:val="Heading1"/>
      </w:pPr>
      <w:r>
        <w:t>2. Скачайте проект</w:t>
      </w:r>
      <w:bookmarkEnd w:id="1"/>
    </w:p>
    <w:p>
      <w:pPr>
        <w:pStyle w:val="ListParagraph"/>
      </w:pPr>
      <w:r>
        <w:t xml:space="preserve">1. Откройте страницу проекта: </w:t>
      </w:r>
      <w:hyperlink r:id="rId11">
        <w:r>
          <w:rPr>
            <w:color w:val="2457B7"/>
          </w:rPr>
          <w:t>https://github.com/ilnurcode/testpilot_1c</w:t>
        </w:r>
      </w:hyperlink>
      <w:r/>
    </w:p>
    <w:p>
      <w:pPr>
        <w:pStyle w:val="ListParagraph"/>
      </w:pPr>
      <w:r>
        <w:t>2. Нажмите зелёную кнопку **Code**, затем **Download ZIP**.</w:t>
      </w:r>
    </w:p>
    <w:p>
      <w:pPr>
        <w:pStyle w:val="ListParagraph"/>
      </w:pPr>
      <w:r>
        <w:t>3. Дождитесь загрузки архива и выберите **Извлечь всё** в Проводнике.</w:t>
      </w:r>
    </w:p>
    <w:p>
      <w:pPr>
        <w:pStyle w:val="ListParagraph"/>
      </w:pPr>
      <w:r>
        <w:t>4. Откройте распакованную папку `testpilot_1c-main`.</w:t>
      </w:r>
    </w:p>
    <w:p>
      <w:r>
        <w:t>Локальные Git и Python для этого варианта не нужны. Не запускайте `.ps1` и не вводите команды в терминал. Не запускайте файл напрямую из окна ZIP: сначала извлеките его целиком. Внутри папки должен быть файл `compose.yaml`.</w:t>
      </w:r>
    </w:p>
    <w:p>
      <w:bookmarkStart w:id="2" w:name="section_2"/>
      <w:pPr>
        <w:pStyle w:val="Heading1"/>
      </w:pPr>
      <w:r>
        <w:t>3. Запустите TestPilot</w:t>
      </w:r>
      <w:bookmarkEnd w:id="2"/>
    </w:p>
    <w:p>
      <w:r>
        <w:t>Дважды щёлкните:</w:t>
      </w:r>
    </w:p>
    <w:p>
      <w:pPr>
        <w:keepLines/>
        <w:spacing w:line="252" w:lineRule="auto" w:before="60" w:after="180"/>
        <w:ind w:left="85" w:right="57"/>
        <w:shd w:fill="EDF2F8"/>
      </w:pPr>
      <w:r>
        <w:rPr>
          <w:rFonts w:ascii="Consolas" w:hAnsi="Consolas"/>
          <w:color w:val="17365D"/>
          <w:sz w:val="17"/>
        </w:rPr>
        <w:t>Run-TestPilot.bat</w:t>
      </w:r>
    </w:p>
    <w:p>
      <w:r>
        <w:t>Если расширения файлов скрыты Проводником, имя может отображаться как **Run-TestPilot**. Windows откроет небольшое чёрное окно запуска. Не закрывайте его до появления сообщения о готовности. Если Windows показывает подтверждение запуска скачанного файла, проверьте, что вы распаковали ZIP репозитория TestPilot, и запускайте этот файл из распакованной папки.</w:t>
      </w:r>
    </w:p>
    <w:p>
      <w:r>
        <w:t>При первом запуске лаунчер откроет Docker Desktop, если тот ещё не запущен, и подождёт запуска движка. Затем Docker скачает базовый образ, Python-библиотеки и Chromium и соберёт контейнеры. Это может занять несколько минут; время зависит от скорости интернета и компьютера. Желательно иметь не менее 5 ГБ свободного места. Во время первой загрузки может появиться окно Docker Desktop с условиями использования — завершите настройку.</w:t>
      </w:r>
    </w:p>
    <w:p>
      <w:r>
        <w:t>Когда увидите:</w:t>
      </w:r>
    </w:p>
    <w:p>
      <w:pPr>
        <w:keepLines/>
        <w:spacing w:line="252" w:lineRule="auto" w:before="60" w:after="180"/>
        <w:ind w:left="85" w:right="57"/>
        <w:shd w:fill="EDF2F8"/>
      </w:pPr>
      <w:r>
        <w:rPr>
          <w:rFonts w:ascii="Consolas" w:hAnsi="Consolas"/>
          <w:color w:val="17365D"/>
          <w:sz w:val="17"/>
        </w:rPr>
        <w:t>TestPilot is ready: http://localhost:8000</w:t>
      </w:r>
    </w:p>
    <w:p>
      <w:r>
        <w:t>лаунчер сам откроет браузер. Если страница не открылась, нажмите в нём ссылку или откройте вручную:</w:t>
      </w:r>
    </w:p>
    <w:p>
      <w:pPr>
        <w:keepLines/>
        <w:spacing w:line="252" w:lineRule="auto" w:before="60" w:after="180"/>
        <w:ind w:left="85" w:right="57"/>
        <w:shd w:fill="EDF2F8"/>
      </w:pPr>
      <w:r>
        <w:rPr>
          <w:rFonts w:ascii="Consolas" w:hAnsi="Consolas"/>
          <w:color w:val="17365D"/>
          <w:sz w:val="17"/>
        </w:rPr>
        <w:t>http://localhost:8000</w:t>
      </w:r>
    </w:p>
    <w:p>
      <w:r>
        <w:t>На локальном компьютере используйте логин **expert** и пароль **TestPilotLocal123!**, если вы не задавали свои настройки в файле `.env`.</w:t>
      </w:r>
    </w:p>
    <w:p>
      <w:r>
        <w:t>Лаунчер покажет диагностику, если Docker Desktop не найден, не готов или сборка завершилась ошибкой. Оставьте окно открытым и прочитайте сообщение внизу. Повторный запуск того же файла продолжает сборку или запускает уже созданные контейнеры.</w:t>
      </w:r>
    </w:p>
    <w:p>
      <w:bookmarkStart w:id="3" w:name="section_3"/>
      <w:pPr>
        <w:pStyle w:val="Heading1"/>
      </w:pPr>
      <w:r>
        <w:t>4. Что происходит при запуске</w:t>
      </w:r>
      <w:bookmarkEnd w:id="3"/>
    </w:p>
    <w:p>
      <w:r>
        <w:t>Docker Compose поднимает PostgreSQL, одноразовый контейнер миграций, два API и веб-приложение. Chromium находится в контейнере исполнителя. Весь код работает внутри Docker; localhost:8000 — только локально открытый веб-интерфейс.</w:t>
      </w:r>
    </w:p>
    <w:p>
      <w:r>
        <w:t>Веб-приложение доступно только на этом компьютере. Порты базы данных не открываются для других устройств сети. Текущие локальные учётные записи и настройки предназначены для демонстрации на личном компьютере, не для размещения публичного сайта.</w:t>
      </w:r>
    </w:p>
    <w:p>
      <w:r>
        <w:t>В базе сохраняются загруженные файлы, проекты, планы, история, результаты и скриншоты. Они находятся в именованном Docker volume, поэтому сохраняются при остановке и следующем запуске. Удаление проекта через Docker Desktop или сброс данных Docker может стереть их.</w:t>
      </w:r>
    </w:p>
    <w:p>
      <w:bookmarkStart w:id="4" w:name="section_4"/>
      <w:pPr>
        <w:pStyle w:val="Heading1"/>
      </w:pPr>
      <w:r>
        <w:t>5. Первый вход</w:t>
      </w:r>
      <w:bookmarkEnd w:id="4"/>
    </w:p>
    <w:p>
      <w:r>
        <w:t>При первом запуске без пользовательского `.env` используйте логин `expert` и пароль `TestPilotLocal123!`. Если вы создавали собственный `.env`, пароль находится в его строке `TP_EXPERT_PASSWORD`. Не показывайте настройки и ключи на записи экрана.</w:t>
      </w:r>
    </w:p>
    <w:p>
      <w:r>
        <w:t>После появления готового интерфейса нажмите «Обзор» и «Открыть демонстрацию». Для подробного показа следуйте разделу 7.</w:t>
      </w:r>
    </w:p>
    <w:p>
      <w:bookmarkStart w:id="5" w:name="section_5"/>
      <w:pPr>
        <w:pStyle w:val="Heading1"/>
      </w:pPr>
      <w:r>
        <w:t>6. Работа в интерфейсе</w:t>
      </w:r>
      <w:bookmarkEnd w:id="5"/>
    </w:p>
    <w:p>
      <w:r>
        <w:t>Основной процесс:</w:t>
      </w:r>
    </w:p>
    <w:p>
      <w:pPr>
        <w:pStyle w:val="ListParagraph"/>
      </w:pPr>
      <w:r>
        <w:t>1. Создать проект.</w:t>
      </w:r>
    </w:p>
    <w:p>
      <w:pPr>
        <w:pStyle w:val="ListParagraph"/>
      </w:pPr>
      <w:r>
        <w:t>2. Загрузить файл разработки.</w:t>
      </w:r>
    </w:p>
    <w:p>
      <w:pPr>
        <w:pStyle w:val="ListParagraph"/>
      </w:pPr>
      <w:r>
        <w:t>3. Выбрать полный анализ или сравнение с прошлой версией.</w:t>
      </w:r>
    </w:p>
    <w:p>
      <w:pPr>
        <w:pStyle w:val="ListParagraph"/>
      </w:pPr>
      <w:r>
        <w:t>4. Посмотреть изменения и затронутые объекты.</w:t>
      </w:r>
    </w:p>
    <w:p>
      <w:pPr>
        <w:pStyle w:val="ListParagraph"/>
      </w:pPr>
      <w:r>
        <w:t>5. Подготовить сценарии проверок.</w:t>
      </w:r>
    </w:p>
    <w:p>
      <w:pPr>
        <w:pStyle w:val="ListParagraph"/>
      </w:pPr>
      <w:r>
        <w:t>6. Проверить и подтвердить сценарии и данные.</w:t>
      </w:r>
    </w:p>
    <w:p>
      <w:pPr>
        <w:pStyle w:val="ListParagraph"/>
      </w:pPr>
      <w:r>
        <w:t>7. Запустить доступный исполнитель.</w:t>
      </w:r>
    </w:p>
    <w:p>
      <w:pPr>
        <w:pStyle w:val="ListParagraph"/>
      </w:pPr>
      <w:r>
        <w:t>8. Изучить результаты, скриншоты и дефекты.</w:t>
      </w:r>
    </w:p>
    <w:p>
      <w:r>
        <w:t>В разделе «Проекты и файлы» создайте проект и сохраняйте в нём версии разработки. Исходные файлы остаются в истории. Повторные одинаковые загрузки распознаются по содержимому. Предыдущую версию можно использовать как базу сравнения.</w:t>
      </w:r>
    </w:p>
    <w:tbl>
      <w:tblPr>
        <w:tblStyle w:val="LightShading-Accent1"/>
        <w:tblW w:type="auto" w:w="0"/>
        <w:jc w:val="center"/>
        <w:tblLook w:firstColumn="1" w:firstRow="1" w:lastColumn="0" w:lastRow="0" w:noHBand="0" w:noVBand="1" w:val="04A0"/>
      </w:tblPr>
      <w:tblGrid>
        <w:gridCol w:w="4876"/>
        <w:gridCol w:w="4876"/>
      </w:tblGrid>
      <w:tr>
        <w:trPr>
          <w:cantSplit/>
          <w:tblHeader/>
        </w:trPr>
        <w:tc>
          <w:tcPr>
            <w:tcW w:type="dxa" w:w="3231"/>
          </w:tcPr>
          <w:p>
            <w:pPr>
              <w:spacing w:after="80" w:before="80"/>
            </w:pPr>
            <w:r>
              <w:rPr>
                <w:b/>
                <w:sz w:val="18"/>
              </w:rPr>
              <w:t>Формат</w:t>
            </w:r>
          </w:p>
        </w:tc>
        <w:tc>
          <w:tcPr>
            <w:tcW w:type="dxa" w:w="6520"/>
          </w:tcPr>
          <w:p>
            <w:pPr>
              <w:spacing w:after="80" w:before="80"/>
            </w:pPr>
            <w:r>
              <w:rPr>
                <w:b/>
                <w:sz w:val="18"/>
              </w:rPr>
              <w:t>Что доступно сейчас</w:t>
            </w:r>
          </w:p>
        </w:tc>
      </w:tr>
      <w:tr>
        <w:trPr>
          <w:cantSplit/>
        </w:trPr>
        <w:tc>
          <w:tcPr>
            <w:tcW w:type="dxa" w:w="3231"/>
          </w:tcPr>
          <w:p>
            <w:pPr>
              <w:spacing w:after="80" w:before="80"/>
            </w:pPr>
            <w:r>
              <w:rPr>
                <w:sz w:val="18"/>
              </w:rPr>
              <w:t>Нормализованный JSON проекта</w:t>
            </w:r>
          </w:p>
        </w:tc>
        <w:tc>
          <w:tcPr>
            <w:tcW w:type="dxa" w:w="6520"/>
          </w:tcPr>
          <w:p>
            <w:pPr>
              <w:spacing w:after="80" w:before="80"/>
            </w:pPr>
            <w:r>
              <w:rPr>
                <w:sz w:val="18"/>
              </w:rPr>
              <w:t>Хранение и анализ модели</w:t>
            </w:r>
          </w:p>
        </w:tc>
      </w:tr>
      <w:tr>
        <w:trPr>
          <w:cantSplit/>
        </w:trPr>
        <w:tc>
          <w:tcPr>
            <w:tcW w:type="dxa" w:w="3231"/>
          </w:tcPr>
          <w:p>
            <w:pPr>
              <w:spacing w:after="80" w:before="80"/>
            </w:pPr>
            <w:r>
              <w:rPr>
                <w:sz w:val="18"/>
              </w:rPr>
              <w:t>ZIP с configuration.json в корне</w:t>
            </w:r>
          </w:p>
        </w:tc>
        <w:tc>
          <w:tcPr>
            <w:tcW w:type="dxa" w:w="6520"/>
          </w:tcPr>
          <w:p>
            <w:pPr>
              <w:spacing w:after="80" w:before="80"/>
            </w:pPr>
            <w:r>
              <w:rPr>
                <w:sz w:val="18"/>
              </w:rPr>
              <w:t>Хранение и анализ модели</w:t>
            </w:r>
          </w:p>
        </w:tc>
      </w:tr>
      <w:tr>
        <w:trPr>
          <w:cantSplit/>
        </w:trPr>
        <w:tc>
          <w:tcPr>
            <w:tcW w:type="dxa" w:w="3231"/>
          </w:tcPr>
          <w:p>
            <w:pPr>
              <w:spacing w:after="80" w:before="80"/>
            </w:pPr>
            <w:r>
              <w:rPr>
                <w:sz w:val="18"/>
              </w:rPr>
              <w:t>CFE, CF, EPF, ERF, DT</w:t>
            </w:r>
          </w:p>
        </w:tc>
        <w:tc>
          <w:tcPr>
            <w:tcW w:type="dxa" w:w="6520"/>
          </w:tcPr>
          <w:p>
            <w:pPr>
              <w:spacing w:after="80" w:before="80"/>
            </w:pPr>
            <w:r>
              <w:rPr>
                <w:sz w:val="18"/>
              </w:rPr>
              <w:t>Хранение оригинала; автоматический разбор пока недоступен</w:t>
            </w:r>
          </w:p>
        </w:tc>
      </w:tr>
    </w:tbl>
    <w:p>
      <w:pPr>
        <w:spacing w:after="20"/>
      </w:pPr>
    </w:p>
    <w:p>
      <w:r>
        <w:t>Нормализованный JSON — специальная модель объектов и связей, а не произвольный JSON-файл. На хранение принимаются файлы до 64 МиБ; нормализованный JSON для анализа ограничен 8 МиБ.</w:t>
      </w:r>
    </w:p>
    <w:p>
      <w:r>
        <w:t>Если предыдущей версии нет, анализируется вся доступная модель и представленные в ней зависимости. Если база сравнения есть, вычисляются изменения и область их влияния. Для анализа зависимостей типовой конфигурации они должны присутствовать в модели.</w:t>
      </w:r>
    </w:p>
    <w:p>
      <w:r>
        <w:t>Сохранение бинарного файла ещё не означает, что сервис разобрал его, установил в 1С или протестировал. Для первого знакомства используйте встроенную демонстрацию. Доступный учебный исполнитель работает только с отдельным синтетическим стендом, а не с произвольным пользовательским проектом.</w:t>
      </w:r>
    </w:p>
    <w:p>
      <w:r>
        <w:t>Разделы интерфейса:</w:t>
      </w:r>
    </w:p>
    <w:tbl>
      <w:tblPr>
        <w:tblStyle w:val="LightShading-Accent1"/>
        <w:tblW w:type="auto" w:w="0"/>
        <w:jc w:val="center"/>
        <w:tblLook w:firstColumn="1" w:firstRow="1" w:lastColumn="0" w:lastRow="0" w:noHBand="0" w:noVBand="1" w:val="04A0"/>
      </w:tblPr>
      <w:tblGrid>
        <w:gridCol w:w="4876"/>
        <w:gridCol w:w="4876"/>
      </w:tblGrid>
      <w:tr>
        <w:trPr>
          <w:cantSplit/>
          <w:tblHeader/>
        </w:trPr>
        <w:tc>
          <w:tcPr>
            <w:tcW w:type="dxa" w:w="3231"/>
          </w:tcPr>
          <w:p>
            <w:pPr>
              <w:spacing w:after="80" w:before="80"/>
            </w:pPr>
            <w:r>
              <w:rPr>
                <w:b/>
                <w:sz w:val="18"/>
              </w:rPr>
              <w:t>Раздел</w:t>
            </w:r>
          </w:p>
        </w:tc>
        <w:tc>
          <w:tcPr>
            <w:tcW w:type="dxa" w:w="6520"/>
          </w:tcPr>
          <w:p>
            <w:pPr>
              <w:spacing w:after="80" w:before="80"/>
            </w:pPr>
            <w:r>
              <w:rPr>
                <w:b/>
                <w:sz w:val="18"/>
              </w:rPr>
              <w:t>Назначение</w:t>
            </w:r>
          </w:p>
        </w:tc>
      </w:tr>
      <w:tr>
        <w:trPr>
          <w:cantSplit/>
        </w:trPr>
        <w:tc>
          <w:tcPr>
            <w:tcW w:type="dxa" w:w="3231"/>
          </w:tcPr>
          <w:p>
            <w:pPr>
              <w:spacing w:after="80" w:before="80"/>
            </w:pPr>
            <w:r>
              <w:rPr>
                <w:sz w:val="18"/>
              </w:rPr>
              <w:t>Обзор</w:t>
            </w:r>
          </w:p>
        </w:tc>
        <w:tc>
          <w:tcPr>
            <w:tcW w:type="dxa" w:w="6520"/>
          </w:tcPr>
          <w:p>
            <w:pPr>
              <w:spacing w:after="80" w:before="80"/>
            </w:pPr>
            <w:r>
              <w:rPr>
                <w:sz w:val="18"/>
              </w:rPr>
              <w:t>Начало работы и открытие демонстрации</w:t>
            </w:r>
          </w:p>
        </w:tc>
      </w:tr>
      <w:tr>
        <w:trPr>
          <w:cantSplit/>
        </w:trPr>
        <w:tc>
          <w:tcPr>
            <w:tcW w:type="dxa" w:w="3231"/>
          </w:tcPr>
          <w:p>
            <w:pPr>
              <w:spacing w:after="80" w:before="80"/>
            </w:pPr>
            <w:r>
              <w:rPr>
                <w:sz w:val="18"/>
              </w:rPr>
              <w:t>Проекты и файлы</w:t>
            </w:r>
          </w:p>
        </w:tc>
        <w:tc>
          <w:tcPr>
            <w:tcW w:type="dxa" w:w="6520"/>
          </w:tcPr>
          <w:p>
            <w:pPr>
              <w:spacing w:after="80" w:before="80"/>
            </w:pPr>
            <w:r>
              <w:rPr>
                <w:sz w:val="18"/>
              </w:rPr>
              <w:t>Загрузка, история версий и анализ</w:t>
            </w:r>
          </w:p>
        </w:tc>
      </w:tr>
      <w:tr>
        <w:trPr>
          <w:cantSplit/>
        </w:trPr>
        <w:tc>
          <w:tcPr>
            <w:tcW w:type="dxa" w:w="3231"/>
          </w:tcPr>
          <w:p>
            <w:pPr>
              <w:spacing w:after="80" w:before="80"/>
            </w:pPr>
            <w:r>
              <w:rPr>
                <w:sz w:val="18"/>
              </w:rPr>
              <w:t>Сравнение</w:t>
            </w:r>
          </w:p>
        </w:tc>
        <w:tc>
          <w:tcPr>
            <w:tcW w:type="dxa" w:w="6520"/>
          </w:tcPr>
          <w:p>
            <w:pPr>
              <w:spacing w:after="80" w:before="80"/>
            </w:pPr>
            <w:r>
              <w:rPr>
                <w:sz w:val="18"/>
              </w:rPr>
              <w:t>Изменения между версиями</w:t>
            </w:r>
          </w:p>
        </w:tc>
      </w:tr>
      <w:tr>
        <w:trPr>
          <w:cantSplit/>
        </w:trPr>
        <w:tc>
          <w:tcPr>
            <w:tcW w:type="dxa" w:w="3231"/>
          </w:tcPr>
          <w:p>
            <w:pPr>
              <w:spacing w:after="80" w:before="80"/>
            </w:pPr>
            <w:r>
              <w:rPr>
                <w:sz w:val="18"/>
              </w:rPr>
              <w:t>Граф и влияние</w:t>
            </w:r>
          </w:p>
        </w:tc>
        <w:tc>
          <w:tcPr>
            <w:tcW w:type="dxa" w:w="6520"/>
          </w:tcPr>
          <w:p>
            <w:pPr>
              <w:spacing w:after="80" w:before="80"/>
            </w:pPr>
            <w:r>
              <w:rPr>
                <w:sz w:val="18"/>
              </w:rPr>
              <w:t>Связи и объяснения области влияния</w:t>
            </w:r>
          </w:p>
        </w:tc>
      </w:tr>
      <w:tr>
        <w:trPr>
          <w:cantSplit/>
        </w:trPr>
        <w:tc>
          <w:tcPr>
            <w:tcW w:type="dxa" w:w="3231"/>
          </w:tcPr>
          <w:p>
            <w:pPr>
              <w:spacing w:after="80" w:before="80"/>
            </w:pPr>
            <w:r>
              <w:rPr>
                <w:sz w:val="18"/>
              </w:rPr>
              <w:t>Каталог и покрытия</w:t>
            </w:r>
          </w:p>
        </w:tc>
        <w:tc>
          <w:tcPr>
            <w:tcW w:type="dxa" w:w="6520"/>
          </w:tcPr>
          <w:p>
            <w:pPr>
              <w:spacing w:after="80" w:before="80"/>
            </w:pPr>
            <w:r>
              <w:rPr>
                <w:sz w:val="18"/>
              </w:rPr>
              <w:t>Сохранённые тесты и привязки к объектам</w:t>
            </w:r>
          </w:p>
        </w:tc>
      </w:tr>
      <w:tr>
        <w:trPr>
          <w:cantSplit/>
        </w:trPr>
        <w:tc>
          <w:tcPr>
            <w:tcW w:type="dxa" w:w="3231"/>
          </w:tcPr>
          <w:p>
            <w:pPr>
              <w:spacing w:after="80" w:before="80"/>
            </w:pPr>
            <w:r>
              <w:rPr>
                <w:sz w:val="18"/>
              </w:rPr>
              <w:t>История и дефекты</w:t>
            </w:r>
          </w:p>
        </w:tc>
        <w:tc>
          <w:tcPr>
            <w:tcW w:type="dxa" w:w="6520"/>
          </w:tcPr>
          <w:p>
            <w:pPr>
              <w:spacing w:after="80" w:before="80"/>
            </w:pPr>
            <w:r>
              <w:rPr>
                <w:sz w:val="18"/>
              </w:rPr>
              <w:t>Сохранённые результаты и найденные расхождения</w:t>
            </w:r>
          </w:p>
        </w:tc>
      </w:tr>
      <w:tr>
        <w:trPr>
          <w:cantSplit/>
        </w:trPr>
        <w:tc>
          <w:tcPr>
            <w:tcW w:type="dxa" w:w="3231"/>
          </w:tcPr>
          <w:p>
            <w:pPr>
              <w:spacing w:after="80" w:before="80"/>
            </w:pPr>
            <w:r>
              <w:rPr>
                <w:sz w:val="18"/>
              </w:rPr>
              <w:t>Расчёт тест-плана</w:t>
            </w:r>
          </w:p>
        </w:tc>
        <w:tc>
          <w:tcPr>
            <w:tcW w:type="dxa" w:w="6520"/>
          </w:tcPr>
          <w:p>
            <w:pPr>
              <w:spacing w:after="80" w:before="80"/>
            </w:pPr>
            <w:r>
              <w:rPr>
                <w:sz w:val="18"/>
              </w:rPr>
              <w:t>Подбор набора по каталогу и ограничениям</w:t>
            </w:r>
          </w:p>
        </w:tc>
      </w:tr>
      <w:tr>
        <w:trPr>
          <w:cantSplit/>
        </w:trPr>
        <w:tc>
          <w:tcPr>
            <w:tcW w:type="dxa" w:w="3231"/>
          </w:tcPr>
          <w:p>
            <w:pPr>
              <w:spacing w:after="80" w:before="80"/>
            </w:pPr>
            <w:r>
              <w:rPr>
                <w:sz w:val="18"/>
              </w:rPr>
              <w:t>Отчёты</w:t>
            </w:r>
          </w:p>
        </w:tc>
        <w:tc>
          <w:tcPr>
            <w:tcW w:type="dxa" w:w="6520"/>
          </w:tcPr>
          <w:p>
            <w:pPr>
              <w:spacing w:after="80" w:before="80"/>
            </w:pPr>
            <w:r>
              <w:rPr>
                <w:sz w:val="18"/>
              </w:rPr>
              <w:t>Сохранённые планы и экспорт</w:t>
            </w:r>
          </w:p>
        </w:tc>
      </w:tr>
      <w:tr>
        <w:trPr>
          <w:cantSplit/>
        </w:trPr>
        <w:tc>
          <w:tcPr>
            <w:tcW w:type="dxa" w:w="3231"/>
          </w:tcPr>
          <w:p>
            <w:pPr>
              <w:spacing w:after="80" w:before="80"/>
            </w:pPr>
            <w:r>
              <w:rPr>
                <w:sz w:val="18"/>
              </w:rPr>
              <w:t>Нейросеть и проверки</w:t>
            </w:r>
          </w:p>
        </w:tc>
        <w:tc>
          <w:tcPr>
            <w:tcW w:type="dxa" w:w="6520"/>
          </w:tcPr>
          <w:p>
            <w:pPr>
              <w:spacing w:after="80" w:before="80"/>
            </w:pPr>
            <w:r>
              <w:rPr>
                <w:sz w:val="18"/>
              </w:rPr>
              <w:t>Предложения, подтверждение и отчёт запуска</w:t>
            </w:r>
          </w:p>
        </w:tc>
      </w:tr>
    </w:tbl>
    <w:p>
      <w:pPr>
        <w:spacing w:after="20"/>
      </w:pPr>
    </w:p>
    <w:p>
      <w:bookmarkStart w:id="6" w:name="section_6"/>
      <w:pPr>
        <w:pStyle w:val="Heading1"/>
      </w:pPr>
      <w:r>
        <w:t>7. Демонстрация на 7–10 минут</w:t>
      </w:r>
      <w:bookmarkEnd w:id="6"/>
    </w:p>
    <w:p>
      <w:r>
        <w:t>Перед публичным показом один раз пройдите весь сценарий самостоятельно. Используйте браузер на весь экран, желательно с масштабом 100%. Закройте .env и другие окна с секретами.</w:t>
      </w:r>
    </w:p>
    <w:p>
      <w:pPr>
        <w:pStyle w:val="Heading2"/>
      </w:pPr>
      <w:r>
        <w:t>Шаг 1. Объясните назначение</w:t>
      </w:r>
    </w:p>
    <w:p>
      <w:r>
        <w:t>Откройте «Обзор». Можно сказать:</w:t>
      </w:r>
    </w:p>
    <w:p>
      <w:r>
        <w:t>«Сервис сохраняет версии разработки, определяет изменения и связанные объекты, помогает подготовить проверки и сохраняет результаты выполнения. Сейчас показываем процесс на учебном стенде».</w:t>
      </w:r>
    </w:p>
    <w:p>
      <w:r>
        <w:t>Сразу обозначьте, что настоящая публикация 1С ещё не подключена.</w:t>
      </w:r>
    </w:p>
    <w:p>
      <w:pPr>
        <w:pStyle w:val="Heading2"/>
      </w:pPr>
      <w:r>
        <w:t>Шаг 2. Откройте демонстрационный проект</w:t>
      </w:r>
    </w:p>
    <w:p>
      <w:r>
        <w:t>Нажмите «Открыть демонстрацию». Сервис загрузит две учебные версии, сохранит их и выполнит сравнение. Покажите историю файлов в разделе «Проекты и файлы».</w:t>
      </w:r>
    </w:p>
    <w:p>
      <w:r>
        <w:t>Объяснение: «Предыдущая версия остаётся в проекте. Её не нужно каждый раз загружать заново».</w:t>
      </w:r>
    </w:p>
    <w:p>
      <w:r>
        <w:t>Повторное открытие демонстрации не дублирует исходные файлы, но создаёт новый анализ.</w:t>
      </w:r>
    </w:p>
    <w:p>
      <w:pPr>
        <w:pStyle w:val="Heading2"/>
      </w:pPr>
      <w:r>
        <w:t>Шаг 3. Покажите изменения и влияние</w:t>
      </w:r>
    </w:p>
    <w:p>
      <w:r>
        <w:t>В учебном примере ожидаются 5 изменений и 10 затронутых объектов. Покажите список изменений, затем граф или объясняющие пути связей.</w:t>
      </w:r>
    </w:p>
    <w:p>
      <w:r>
        <w:t>Можно сказать: «Изменённая функция может использоваться другими объектами. Сервис показывает, какие места могли быть затронуты и почему они включены в область проверки».</w:t>
      </w:r>
    </w:p>
    <w:p>
      <w:r>
        <w:t>Область влияния строится по представленным в модели связям. Полнота всех динамических зависимостей настоящей 1С пока не гарантируется.</w:t>
      </w:r>
    </w:p>
    <w:p>
      <w:pPr>
        <w:pStyle w:val="Heading2"/>
      </w:pPr>
      <w:r>
        <w:t>Шаг 4. Подготовьте сценарии и данные</w:t>
      </w:r>
    </w:p>
    <w:p>
      <w:r>
        <w:t>Нажмите «Подготовить проверки». Выберите «Учебные правила — без нейросети», затем «Сформировать сценарии».</w:t>
      </w:r>
    </w:p>
    <w:p>
      <w:r>
        <w:t>Появятся два предложения: проверка расчёта через HTTP API учебного стенда и проверка расчёта в браузере через Playwright. Покажите обоснование, затронутые объекты, шаги, входные данные и ожидаемые суммы.</w:t>
      </w:r>
    </w:p>
    <w:p>
      <w:r>
        <w:t>Без API-ключа используется явно обозначенный учебный генератор. Не называйте его вызовом нейросети. Корректная формулировка: «Адаптер внешней нейросети подготовлен. В этом показе сценарии поступают из учебных правил. Дальнейшее выполнение и сохранение результатов происходят фактически».</w:t>
      </w:r>
    </w:p>
    <w:p>
      <w:r>
        <w:t>Плановые связи покрытия не являются доказательством полноты всех тестов.</w:t>
      </w:r>
    </w:p>
    <w:p>
      <w:pPr>
        <w:pStyle w:val="Heading2"/>
      </w:pPr>
      <w:r>
        <w:t>Шаг 5. Подтвердите сценарии</w:t>
      </w:r>
    </w:p>
    <w:p>
      <w:r>
        <w:t>Введите причину подтверждения, например:</w:t>
      </w:r>
    </w:p>
    <w:p>
      <w:pPr>
        <w:keepLines/>
        <w:spacing w:line="252" w:lineRule="auto" w:before="60" w:after="180"/>
        <w:ind w:left="85" w:right="57"/>
        <w:shd w:fill="EDF2F8"/>
      </w:pPr>
      <w:r>
        <w:rPr>
          <w:rFonts w:ascii="Consolas" w:hAnsi="Consolas"/>
          <w:color w:val="17365D"/>
          <w:sz w:val="17"/>
        </w:rPr>
        <w:t>Проверены входные данные и ожидаемые суммы учебного расчёта скидки.</w:t>
      </w:r>
    </w:p>
    <w:p>
      <w:r>
        <w:t>Оставьте выбранными оба сценария и нажмите «Подтвердить выбранные сценарии». Подтверждённые предложения сохраняются как новые тесты в каталоге с указанными экспертом связями покрытия.</w:t>
      </w:r>
    </w:p>
    <w:p>
      <w:r>
        <w:t>Объяснение: «Перед выполнением пользователь проверяет предложенные действия и ожидаемые результаты».</w:t>
      </w:r>
    </w:p>
    <w:p>
      <w:pPr>
        <w:pStyle w:val="Heading2"/>
      </w:pPr>
      <w:r>
        <w:t>Шаг 6. Выполните проверки</w:t>
      </w:r>
    </w:p>
    <w:p>
      <w:r>
        <w:t>Нажмите «Запустить на учебном стенде» и дождитесь отчёта. Выполняются реальные HTTP-запросы и действия Chromium. Статусы определяются сравнением ожидаемых и фактических значений. Созданные учебные записи удаляются после проверки.</w:t>
      </w:r>
    </w:p>
    <w:tbl>
      <w:tblPr>
        <w:tblStyle w:val="LightShading-Accent1"/>
        <w:tblW w:type="auto" w:w="0"/>
        <w:jc w:val="center"/>
        <w:tblLook w:firstColumn="1" w:firstRow="1" w:lastColumn="0" w:lastRow="0" w:noHBand="0" w:noVBand="1" w:val="04A0"/>
      </w:tblPr>
      <w:tblGrid>
        <w:gridCol w:w="2438"/>
        <w:gridCol w:w="2438"/>
        <w:gridCol w:w="2438"/>
        <w:gridCol w:w="2438"/>
      </w:tblGrid>
      <w:tr>
        <w:trPr>
          <w:cantSplit/>
          <w:tblHeader/>
        </w:trPr>
        <w:tc>
          <w:tcPr>
            <w:tcW w:type="dxa" w:w="4535"/>
          </w:tcPr>
          <w:p>
            <w:pPr>
              <w:spacing w:after="80" w:before="80"/>
            </w:pPr>
            <w:r>
              <w:rPr>
                <w:b/>
                <w:sz w:val="18"/>
              </w:rPr>
              <w:t>Проверка</w:t>
            </w:r>
          </w:p>
        </w:tc>
        <w:tc>
          <w:tcPr>
            <w:tcW w:type="dxa" w:w="1531"/>
          </w:tcPr>
          <w:p>
            <w:pPr>
              <w:spacing w:after="80" w:before="80"/>
            </w:pPr>
            <w:r>
              <w:rPr>
                <w:b/>
                <w:sz w:val="18"/>
              </w:rPr>
              <w:t>Ожидается</w:t>
            </w:r>
          </w:p>
        </w:tc>
        <w:tc>
          <w:tcPr>
            <w:tcW w:type="dxa" w:w="1531"/>
          </w:tcPr>
          <w:p>
            <w:pPr>
              <w:spacing w:after="80" w:before="80"/>
            </w:pPr>
            <w:r>
              <w:rPr>
                <w:b/>
                <w:sz w:val="18"/>
              </w:rPr>
              <w:t>Получено</w:t>
            </w:r>
          </w:p>
        </w:tc>
        <w:tc>
          <w:tcPr>
            <w:tcW w:type="dxa" w:w="2154"/>
          </w:tcPr>
          <w:p>
            <w:pPr>
              <w:spacing w:after="80" w:before="80"/>
            </w:pPr>
            <w:r>
              <w:rPr>
                <w:b/>
                <w:sz w:val="18"/>
              </w:rPr>
              <w:t>Итог</w:t>
            </w:r>
          </w:p>
        </w:tc>
      </w:tr>
      <w:tr>
        <w:trPr>
          <w:cantSplit/>
        </w:trPr>
        <w:tc>
          <w:tcPr>
            <w:tcW w:type="dxa" w:w="4535"/>
          </w:tcPr>
          <w:p>
            <w:pPr>
              <w:spacing w:after="80" w:before="80"/>
            </w:pPr>
            <w:r>
              <w:rPr>
                <w:sz w:val="18"/>
              </w:rPr>
              <w:t>HTTP: 2 × 100, скидка 10%</w:t>
            </w:r>
          </w:p>
        </w:tc>
        <w:tc>
          <w:tcPr>
            <w:tcW w:type="dxa" w:w="1531"/>
          </w:tcPr>
          <w:p>
            <w:pPr>
              <w:spacing w:after="80" w:before="80"/>
            </w:pPr>
            <w:r>
              <w:rPr>
                <w:sz w:val="18"/>
              </w:rPr>
              <w:t>180</w:t>
            </w:r>
          </w:p>
        </w:tc>
        <w:tc>
          <w:tcPr>
            <w:tcW w:type="dxa" w:w="1531"/>
          </w:tcPr>
          <w:p>
            <w:pPr>
              <w:spacing w:after="80" w:before="80"/>
            </w:pPr>
            <w:r>
              <w:rPr>
                <w:sz w:val="18"/>
              </w:rPr>
              <w:t>180</w:t>
            </w:r>
          </w:p>
        </w:tc>
        <w:tc>
          <w:tcPr>
            <w:tcW w:type="dxa" w:w="2154"/>
          </w:tcPr>
          <w:p>
            <w:pPr>
              <w:spacing w:after="80" w:before="80"/>
            </w:pPr>
            <w:r>
              <w:rPr>
                <w:sz w:val="18"/>
              </w:rPr>
              <w:t>Пройдена</w:t>
            </w:r>
          </w:p>
        </w:tc>
      </w:tr>
      <w:tr>
        <w:trPr>
          <w:cantSplit/>
        </w:trPr>
        <w:tc>
          <w:tcPr>
            <w:tcW w:type="dxa" w:w="4535"/>
          </w:tcPr>
          <w:p>
            <w:pPr>
              <w:spacing w:after="80" w:before="80"/>
            </w:pPr>
            <w:r>
              <w:rPr>
                <w:sz w:val="18"/>
              </w:rPr>
              <w:t>HTTP: 10 × 100, скидка 10%</w:t>
            </w:r>
          </w:p>
        </w:tc>
        <w:tc>
          <w:tcPr>
            <w:tcW w:type="dxa" w:w="1531"/>
          </w:tcPr>
          <w:p>
            <w:pPr>
              <w:spacing w:after="80" w:before="80"/>
            </w:pPr>
            <w:r>
              <w:rPr>
                <w:sz w:val="18"/>
              </w:rPr>
              <w:t>900</w:t>
            </w:r>
          </w:p>
        </w:tc>
        <w:tc>
          <w:tcPr>
            <w:tcW w:type="dxa" w:w="1531"/>
          </w:tcPr>
          <w:p>
            <w:pPr>
              <w:spacing w:after="80" w:before="80"/>
            </w:pPr>
            <w:r>
              <w:rPr>
                <w:sz w:val="18"/>
              </w:rPr>
              <w:t>1000</w:t>
            </w:r>
          </w:p>
        </w:tc>
        <w:tc>
          <w:tcPr>
            <w:tcW w:type="dxa" w:w="2154"/>
          </w:tcPr>
          <w:p>
            <w:pPr>
              <w:spacing w:after="80" w:before="80"/>
            </w:pPr>
            <w:r>
              <w:rPr>
                <w:sz w:val="18"/>
              </w:rPr>
              <w:t>Расхождение</w:t>
            </w:r>
          </w:p>
        </w:tc>
      </w:tr>
      <w:tr>
        <w:trPr>
          <w:cantSplit/>
        </w:trPr>
        <w:tc>
          <w:tcPr>
            <w:tcW w:type="dxa" w:w="4535"/>
          </w:tcPr>
          <w:p>
            <w:pPr>
              <w:spacing w:after="80" w:before="80"/>
            </w:pPr>
            <w:r>
              <w:rPr>
                <w:sz w:val="18"/>
              </w:rPr>
              <w:t>Playwright: 2 × 100, скидка 10%</w:t>
            </w:r>
          </w:p>
        </w:tc>
        <w:tc>
          <w:tcPr>
            <w:tcW w:type="dxa" w:w="1531"/>
          </w:tcPr>
          <w:p>
            <w:pPr>
              <w:spacing w:after="80" w:before="80"/>
            </w:pPr>
            <w:r>
              <w:rPr>
                <w:sz w:val="18"/>
              </w:rPr>
              <w:t>180</w:t>
            </w:r>
          </w:p>
        </w:tc>
        <w:tc>
          <w:tcPr>
            <w:tcW w:type="dxa" w:w="1531"/>
          </w:tcPr>
          <w:p>
            <w:pPr>
              <w:spacing w:after="80" w:before="80"/>
            </w:pPr>
            <w:r>
              <w:rPr>
                <w:sz w:val="18"/>
              </w:rPr>
              <w:t>180</w:t>
            </w:r>
          </w:p>
        </w:tc>
        <w:tc>
          <w:tcPr>
            <w:tcW w:type="dxa" w:w="2154"/>
          </w:tcPr>
          <w:p>
            <w:pPr>
              <w:spacing w:after="80" w:before="80"/>
            </w:pPr>
            <w:r>
              <w:rPr>
                <w:sz w:val="18"/>
              </w:rPr>
              <w:t>Пройдена</w:t>
            </w:r>
          </w:p>
        </w:tc>
      </w:tr>
      <w:tr>
        <w:trPr>
          <w:cantSplit/>
        </w:trPr>
        <w:tc>
          <w:tcPr>
            <w:tcW w:type="dxa" w:w="4535"/>
          </w:tcPr>
          <w:p>
            <w:pPr>
              <w:spacing w:after="80" w:before="80"/>
            </w:pPr>
            <w:r>
              <w:rPr>
                <w:sz w:val="18"/>
              </w:rPr>
              <w:t>Playwright: 10 × 100, скидка 10%</w:t>
            </w:r>
          </w:p>
        </w:tc>
        <w:tc>
          <w:tcPr>
            <w:tcW w:type="dxa" w:w="1531"/>
          </w:tcPr>
          <w:p>
            <w:pPr>
              <w:spacing w:after="80" w:before="80"/>
            </w:pPr>
            <w:r>
              <w:rPr>
                <w:sz w:val="18"/>
              </w:rPr>
              <w:t>900</w:t>
            </w:r>
          </w:p>
        </w:tc>
        <w:tc>
          <w:tcPr>
            <w:tcW w:type="dxa" w:w="1531"/>
          </w:tcPr>
          <w:p>
            <w:pPr>
              <w:spacing w:after="80" w:before="80"/>
            </w:pPr>
            <w:r>
              <w:rPr>
                <w:sz w:val="18"/>
              </w:rPr>
              <w:t>1000</w:t>
            </w:r>
          </w:p>
        </w:tc>
        <w:tc>
          <w:tcPr>
            <w:tcW w:type="dxa" w:w="2154"/>
          </w:tcPr>
          <w:p>
            <w:pPr>
              <w:spacing w:after="80" w:before="80"/>
            </w:pPr>
            <w:r>
              <w:rPr>
                <w:sz w:val="18"/>
              </w:rPr>
              <w:t>Расхождение</w:t>
            </w:r>
          </w:p>
        </w:tc>
      </w:tr>
    </w:tbl>
    <w:p>
      <w:pPr>
        <w:spacing w:after="20"/>
      </w:pPr>
    </w:p>
    <w:p>
      <w:r>
        <w:t>Два расхождения ожидаемы: при количестве от 10 учебный стенд намеренно теряет скидку. Это обнаруженная бизнес-ошибка учебного приложения; error=0 означает отсутствие ошибок выполнения в ожидаемом успешном демонстрационном запуске.</w:t>
      </w:r>
    </w:p>
    <w:p>
      <w:r>
        <w:t>Можно сказать: «Обычный заказ проходит, а в оптовом расчёте сервис обнаружил неправильную сумму».</w:t>
      </w:r>
    </w:p>
    <w:p>
      <w:pPr>
        <w:pStyle w:val="Heading2"/>
      </w:pPr>
      <w:r>
        <w:t>Шаг 7. Покажите доказательства и сохранение</w:t>
      </w:r>
    </w:p>
    <w:p>
      <w:r>
        <w:t>Раскройте «Скриншот выполнения» у браузерной проверки. Покажите ожидаемую и фактическую суммы, статус, настоящий скриншот и записи в разделе «История и дефекты».</w:t>
      </w:r>
    </w:p>
    <w:p>
      <w:r>
        <w:t>Обновите страницу. План, подтверждение, результаты и изображения останутся на месте: они хранятся в PostgreSQL. В Linux проверена их сохранность также после перезапуска приложений.</w:t>
      </w:r>
    </w:p>
    <w:p>
      <w:r>
        <w:t>Завершите показ: «На учебном стенде работает процесс от сравнения версий до найденного дефекта. Следующий интеграционный этап — подключение настоящей 1С и проверка на конкретной конфигурации».</w:t>
      </w:r>
    </w:p>
    <w:p>
      <w:r>
        <w:t>Не говорите «протестировали 1С» или «нейросеть уже вызвана», если использовался учебный режим. HTTP API учебного стенда не является проверенной OData-публикацией 1С.</w:t>
      </w:r>
    </w:p>
    <w:p>
      <w:bookmarkStart w:id="7" w:name="section_7"/>
      <w:pPr>
        <w:pStyle w:val="Heading1"/>
      </w:pPr>
      <w:r>
        <w:t>8. Нейросеть — необязательная настройка</w:t>
      </w:r>
      <w:bookmarkEnd w:id="7"/>
    </w:p>
    <w:p>
      <w:r>
        <w:t>Для учебной демонстрации ключ не нужен. Для внешней модели подготовлен OpenAI-совместимый API-адаптер.</w:t>
      </w:r>
    </w:p>
    <w:p>
      <w:r>
        <w:t>Откройте локальный файл:</w:t>
      </w:r>
    </w:p>
    <w:p>
      <w:pPr>
        <w:keepLines/>
        <w:spacing w:line="252" w:lineRule="auto" w:before="60" w:after="180"/>
        <w:ind w:left="85" w:right="57"/>
        <w:shd w:fill="EDF2F8"/>
      </w:pPr>
      <w:r>
        <w:rPr>
          <w:rFonts w:ascii="Consolas" w:hAnsi="Consolas"/>
          <w:color w:val="17365D"/>
          <w:sz w:val="17"/>
        </w:rPr>
        <w:t>notepad .env</w:t>
      </w:r>
    </w:p>
    <w:p>
      <w:r>
        <w:t>Добавьте параметры выбранного провайдера, например:</w:t>
      </w:r>
    </w:p>
    <w:p>
      <w:pPr>
        <w:keepLines/>
        <w:spacing w:line="252" w:lineRule="auto" w:before="60" w:after="180"/>
        <w:ind w:left="85" w:right="57"/>
        <w:shd w:fill="EDF2F8"/>
      </w:pPr>
      <w:r>
        <w:rPr>
          <w:rFonts w:ascii="Consolas" w:hAnsi="Consolas"/>
          <w:color w:val="17365D"/>
          <w:sz w:val="17"/>
        </w:rPr>
        <w:t>TP_LLM_BASE_URL=https://api.openai.com/v1</w:t>
        <w:br/>
        <w:t>TP_LLM_MODEL=gpt-4.1-mini</w:t>
        <w:br/>
        <w:t>TP_LLM_API_KEY=ВАШ_КЛЮЧ</w:t>
      </w:r>
    </w:p>
    <w:p>
      <w:r>
        <w:t>Реальное значение вписывайте только локально. Не отправляйте его в чат, GitHub и файлы результатов. Сохраните .env и перезапустите сервис:</w:t>
      </w:r>
    </w:p>
    <w:p>
      <w:pPr>
        <w:keepLines/>
        <w:spacing w:line="252" w:lineRule="auto" w:before="60" w:after="180"/>
        <w:ind w:left="85" w:right="57"/>
        <w:shd w:fill="EDF2F8"/>
      </w:pPr>
      <w:r>
        <w:rPr>
          <w:rFonts w:ascii="Consolas" w:hAnsi="Consolas"/>
          <w:color w:val="17365D"/>
          <w:sz w:val="17"/>
        </w:rPr>
        <w:t>Run-TestPilot.bat</w:t>
      </w:r>
    </w:p>
    <w:p>
      <w:r>
        <w:t>В интерфейсе выберите API и подтвердите передачу контекста внешнему провайдеру. Подписка ChatGPT сама по себе не даёт API-ключ. API может требовать отдельную оплату. Наличие ключа не гарантирует доступность выбранной модели.</w:t>
      </w:r>
    </w:p>
    <w:p>
      <w:r>
        <w:t>Фактический вызов реальной модели с ключом пока не проверен. При ошибке API нет скрытого переключения на учебные правила. Подключение модели не добавляет автоматически разбор бинарных файлов или универсальный исполнитель для произвольной 1С. Произвольный программный код, сгенерированный моделью, не запускается.</w:t>
      </w:r>
    </w:p>
    <w:p>
      <w:bookmarkStart w:id="8" w:name="section_8"/>
      <w:pPr>
        <w:pStyle w:val="Heading1"/>
      </w:pPr>
      <w:r>
        <w:t>9. Остановка и повторный запуск</w:t>
      </w:r>
      <w:bookmarkEnd w:id="8"/>
    </w:p>
    <w:p>
      <w:r>
        <w:t>Штатно остановить приложение можно двойным щелчком по файлу:</w:t>
      </w:r>
    </w:p>
    <w:p>
      <w:pPr>
        <w:keepLines/>
        <w:spacing w:line="252" w:lineRule="auto" w:before="60" w:after="180"/>
        <w:ind w:left="85" w:right="57"/>
        <w:shd w:fill="EDF2F8"/>
      </w:pPr>
      <w:r>
        <w:rPr>
          <w:rFonts w:ascii="Consolas" w:hAnsi="Consolas"/>
          <w:color w:val="17365D"/>
          <w:sz w:val="17"/>
        </w:rPr>
        <w:t>Stop-TestPilot.bat</w:t>
      </w:r>
    </w:p>
    <w:p>
      <w:r>
        <w:t>Остановится Docker Compose проект, база и контейнеры. Именованный том `testpilot_pgdata`, исходники и ваши настройки сохранятся.</w:t>
      </w:r>
    </w:p>
    <w:p>
      <w:r>
        <w:t>Чтобы запустить снова, двойным щелчком нажмите `Run-TestPilot.bat`. После перезагрузки компьютера запустите Docker Desktop, если он не стартовал вместе с Windows; лаунчер подождёт его и откроет браузер.</w:t>
      </w:r>
    </w:p>
    <w:p>
      <w:r>
        <w:t>Не нажимайте Delete volumes, не сбрасывайте данные Docker Desktop и не запускайте удаление томов, если нужно сохранить проекты и результаты. Остановочный файл удаляет контейнеры, но не том.</w:t>
      </w:r>
    </w:p>
    <w:p>
      <w:bookmarkStart w:id="9" w:name="section_9"/>
      <w:pPr>
        <w:pStyle w:val="Heading1"/>
      </w:pPr>
      <w:r>
        <w:t>10. Обновление проекта</w:t>
      </w:r>
      <w:bookmarkEnd w:id="9"/>
    </w:p>
    <w:p>
      <w:r>
        <w:t xml:space="preserve">Для обновления скачайте свежий ZIP из GitHub: откройте </w:t>
      </w:r>
      <w:hyperlink r:id="rId13">
        <w:r>
          <w:rPr>
            <w:color w:val="2457B7"/>
          </w:rPr>
          <w:t>https://github.com/ilnurcode/testpilot_1c,</w:t>
        </w:r>
      </w:hyperlink>
      <w:r>
        <w:t xml:space="preserve"> нажмите Code → Download ZIP и извлеките его в новую папку. Остановите прежний проект двойным щелчком по `Stop-TestPilot.bat`, затем запустите новый через `Run-TestPilot.bat`.</w:t>
      </w:r>
    </w:p>
    <w:p>
      <w:r>
        <w:t>Compose-проект использует постоянное имя и именованный volume `testpilot_pgdata`, поэтому стандартное обновление с того же компьютера подключается к сохранённой базе даже из распакованной папки с тем же проектом. Если вы создавали `.env` и меняли учётные данные или задавали API-ключ, скопируйте его в новую папку. Держите резервную копию `.env` отдельно.</w:t>
      </w:r>
    </w:p>
    <w:p>
      <w:r>
        <w:t>Не удаляйте Docker volume старой версии до проверки, что нужные файлы и отчёты видны в обновлённой. Не используйте `docker compose down -v`.</w:t>
      </w:r>
    </w:p>
    <w:p>
      <w:bookmarkStart w:id="10" w:name="section_10"/>
      <w:pPr>
        <w:pStyle w:val="Heading1"/>
      </w:pPr>
      <w:r>
        <w:t>11. Устранение ошибок</w:t>
      </w:r>
      <w:bookmarkEnd w:id="10"/>
    </w:p>
    <w:tbl>
      <w:tblPr>
        <w:tblStyle w:val="LightShading-Accent1"/>
        <w:tblW w:type="auto" w:w="0"/>
        <w:jc w:val="center"/>
        <w:tblLook w:firstColumn="1" w:firstRow="1" w:lastColumn="0" w:lastRow="0" w:noHBand="0" w:noVBand="1" w:val="04A0"/>
      </w:tblPr>
      <w:tblGrid>
        <w:gridCol w:w="4876"/>
        <w:gridCol w:w="4876"/>
      </w:tblGrid>
      <w:tr>
        <w:trPr>
          <w:cantSplit/>
          <w:tblHeader/>
        </w:trPr>
        <w:tc>
          <w:tcPr>
            <w:tcW w:type="dxa" w:w="3231"/>
          </w:tcPr>
          <w:p>
            <w:pPr>
              <w:spacing w:after="80" w:before="80"/>
            </w:pPr>
            <w:r>
              <w:rPr>
                <w:b/>
                <w:sz w:val="18"/>
              </w:rPr>
              <w:t>Проблема</w:t>
            </w:r>
          </w:p>
        </w:tc>
        <w:tc>
          <w:tcPr>
            <w:tcW w:type="dxa" w:w="6520"/>
          </w:tcPr>
          <w:p>
            <w:pPr>
              <w:spacing w:after="80" w:before="80"/>
            </w:pPr>
            <w:r>
              <w:rPr>
                <w:b/>
                <w:sz w:val="18"/>
              </w:rPr>
              <w:t>Что проверить</w:t>
            </w:r>
          </w:p>
        </w:tc>
      </w:tr>
      <w:tr>
        <w:trPr>
          <w:cantSplit/>
        </w:trPr>
        <w:tc>
          <w:tcPr>
            <w:tcW w:type="dxa" w:w="3231"/>
          </w:tcPr>
          <w:p>
            <w:pPr>
              <w:spacing w:after="80" w:before="80"/>
            </w:pPr>
            <w:r>
              <w:rPr>
                <w:sz w:val="18"/>
              </w:rPr>
              <w:t>Docker Desktop не найден</w:t>
            </w:r>
          </w:p>
        </w:tc>
        <w:tc>
          <w:tcPr>
            <w:tcW w:type="dxa" w:w="6520"/>
          </w:tcPr>
          <w:p>
            <w:pPr>
              <w:spacing w:after="80" w:before="80"/>
            </w:pPr>
            <w:r>
              <w:rPr>
                <w:sz w:val="18"/>
              </w:rPr>
              <w:t>Установите Docker Desktop, перезагрузите Windows при необходимости и повторите двойной щелчок.</w:t>
            </w:r>
          </w:p>
        </w:tc>
      </w:tr>
      <w:tr>
        <w:trPr>
          <w:cantSplit/>
        </w:trPr>
        <w:tc>
          <w:tcPr>
            <w:tcW w:type="dxa" w:w="3231"/>
          </w:tcPr>
          <w:p>
            <w:pPr>
              <w:spacing w:after="80" w:before="80"/>
            </w:pPr>
            <w:r>
              <w:rPr>
                <w:sz w:val="18"/>
              </w:rPr>
              <w:t>`dockerDesktopLinuxEngine` недоступен</w:t>
            </w:r>
          </w:p>
        </w:tc>
        <w:tc>
          <w:tcPr>
            <w:tcW w:type="dxa" w:w="6520"/>
          </w:tcPr>
          <w:p>
            <w:pPr>
              <w:spacing w:after="80" w:before="80"/>
            </w:pPr>
            <w:r>
              <w:rPr>
                <w:sz w:val="18"/>
              </w:rPr>
              <w:t>Откройте Docker Desktop и дождитесь готовности Linux-движка.</w:t>
            </w:r>
          </w:p>
        </w:tc>
      </w:tr>
      <w:tr>
        <w:trPr>
          <w:cantSplit/>
        </w:trPr>
        <w:tc>
          <w:tcPr>
            <w:tcW w:type="dxa" w:w="3231"/>
          </w:tcPr>
          <w:p>
            <w:pPr>
              <w:spacing w:after="80" w:before="80"/>
            </w:pPr>
            <w:r>
              <w:rPr>
                <w:sz w:val="18"/>
              </w:rPr>
              <w:t>Лаунчер долго ждёт Docker</w:t>
            </w:r>
          </w:p>
        </w:tc>
        <w:tc>
          <w:tcPr>
            <w:tcW w:type="dxa" w:w="6520"/>
          </w:tcPr>
          <w:p>
            <w:pPr>
              <w:spacing w:after="80" w:before="80"/>
            </w:pPr>
            <w:r>
              <w:rPr>
                <w:sz w:val="18"/>
              </w:rPr>
              <w:t>Завершите первоначальную настройку Docker Desktop. Если появится запрос принять условия использования, подтвердите его.</w:t>
            </w:r>
          </w:p>
        </w:tc>
      </w:tr>
      <w:tr>
        <w:trPr>
          <w:cantSplit/>
        </w:trPr>
        <w:tc>
          <w:tcPr>
            <w:tcW w:type="dxa" w:w="3231"/>
          </w:tcPr>
          <w:p>
            <w:pPr>
              <w:spacing w:after="80" w:before="80"/>
            </w:pPr>
            <w:r>
              <w:rPr>
                <w:sz w:val="18"/>
              </w:rPr>
              <w:t>Docker не использует Linux containers</w:t>
            </w:r>
          </w:p>
        </w:tc>
        <w:tc>
          <w:tcPr>
            <w:tcW w:type="dxa" w:w="6520"/>
          </w:tcPr>
          <w:p>
            <w:pPr>
              <w:spacing w:after="80" w:before="80"/>
            </w:pPr>
            <w:r>
              <w:rPr>
                <w:sz w:val="18"/>
              </w:rPr>
              <w:t>В меню Docker возле часов переключитесь на Linux containers.</w:t>
            </w:r>
          </w:p>
        </w:tc>
      </w:tr>
      <w:tr>
        <w:trPr>
          <w:cantSplit/>
        </w:trPr>
        <w:tc>
          <w:tcPr>
            <w:tcW w:type="dxa" w:w="3231"/>
          </w:tcPr>
          <w:p>
            <w:pPr>
              <w:spacing w:after="80" w:before="80"/>
            </w:pPr>
            <w:r>
              <w:rPr>
                <w:sz w:val="18"/>
              </w:rPr>
              <w:t>Сборка прервалась</w:t>
            </w:r>
          </w:p>
        </w:tc>
        <w:tc>
          <w:tcPr>
            <w:tcW w:type="dxa" w:w="6520"/>
          </w:tcPr>
          <w:p>
            <w:pPr>
              <w:spacing w:after="80" w:before="80"/>
            </w:pPr>
            <w:r>
              <w:rPr>
                <w:sz w:val="18"/>
              </w:rPr>
              <w:t>Проверьте интернет и свободное место. Оставьте Docker Desktop запущенным и повторите Run-TestPilot.bat. Лаунчер покажет недавние журналы сервисов.</w:t>
            </w:r>
          </w:p>
        </w:tc>
      </w:tr>
      <w:tr>
        <w:trPr>
          <w:cantSplit/>
        </w:trPr>
        <w:tc>
          <w:tcPr>
            <w:tcW w:type="dxa" w:w="3231"/>
          </w:tcPr>
          <w:p>
            <w:pPr>
              <w:spacing w:after="80" w:before="80"/>
            </w:pPr>
            <w:r>
              <w:rPr>
                <w:sz w:val="18"/>
              </w:rPr>
              <w:t>Браузер показывает `ERR_CONNECTION_REFUSED`</w:t>
            </w:r>
          </w:p>
        </w:tc>
        <w:tc>
          <w:tcPr>
            <w:tcW w:type="dxa" w:w="6520"/>
          </w:tcPr>
          <w:p>
            <w:pPr>
              <w:spacing w:after="80" w:before="80"/>
            </w:pPr>
            <w:r>
              <w:rPr>
                <w:sz w:val="18"/>
              </w:rPr>
              <w:t>Оставьте Docker Desktop работающим. Убедитесь, что лаунчер сообщил о готовности; затем ещё раз запустите Run-TestPilot.bat.</w:t>
            </w:r>
          </w:p>
        </w:tc>
      </w:tr>
      <w:tr>
        <w:trPr>
          <w:cantSplit/>
        </w:trPr>
        <w:tc>
          <w:tcPr>
            <w:tcW w:type="dxa" w:w="3231"/>
          </w:tcPr>
          <w:p>
            <w:pPr>
              <w:spacing w:after="80" w:before="80"/>
            </w:pPr>
            <w:r>
              <w:rPr>
                <w:sz w:val="18"/>
              </w:rPr>
              <w:t>Не удаётся войти</w:t>
            </w:r>
          </w:p>
        </w:tc>
        <w:tc>
          <w:tcPr>
            <w:tcW w:type="dxa" w:w="6520"/>
          </w:tcPr>
          <w:p>
            <w:pPr>
              <w:spacing w:after="80" w:before="80"/>
            </w:pPr>
            <w:r>
              <w:rPr>
                <w:sz w:val="18"/>
              </w:rPr>
              <w:t>Для чистой локальной установки без `.env` используйте `expert` / `TestPilotLocal123!`. Если есть `.env`, проверьте `TP_EXPERT_PASSWORD` в нём.</w:t>
            </w:r>
          </w:p>
        </w:tc>
      </w:tr>
      <w:tr>
        <w:trPr>
          <w:cantSplit/>
        </w:trPr>
        <w:tc>
          <w:tcPr>
            <w:tcW w:type="dxa" w:w="3231"/>
          </w:tcPr>
          <w:p>
            <w:pPr>
              <w:spacing w:after="80" w:before="80"/>
            </w:pPr>
            <w:r>
              <w:rPr>
                <w:sz w:val="18"/>
              </w:rPr>
              <w:t>Исчезли сохранённые проекты</w:t>
            </w:r>
          </w:p>
        </w:tc>
        <w:tc>
          <w:tcPr>
            <w:tcW w:type="dxa" w:w="6520"/>
          </w:tcPr>
          <w:p>
            <w:pPr>
              <w:spacing w:after="80" w:before="80"/>
            </w:pPr>
            <w:r>
              <w:rPr>
                <w:sz w:val="18"/>
              </w:rPr>
              <w:t>Запустите проект из исходной папки/комплекта Docker. Не удаляйте тома или старые установки до восстановления базы.</w:t>
            </w:r>
          </w:p>
        </w:tc>
      </w:tr>
      <w:tr>
        <w:trPr>
          <w:cantSplit/>
        </w:trPr>
        <w:tc>
          <w:tcPr>
            <w:tcW w:type="dxa" w:w="3231"/>
          </w:tcPr>
          <w:p>
            <w:pPr>
              <w:spacing w:after="80" w:before="80"/>
            </w:pPr>
            <w:r>
              <w:rPr>
                <w:sz w:val="18"/>
              </w:rPr>
              <w:t>Нужны журналы</w:t>
            </w:r>
          </w:p>
        </w:tc>
        <w:tc>
          <w:tcPr>
            <w:tcW w:type="dxa" w:w="6520"/>
          </w:tcPr>
          <w:p>
            <w:pPr>
              <w:spacing w:after="80" w:before="80"/>
            </w:pPr>
            <w:r>
              <w:rPr>
                <w:sz w:val="18"/>
              </w:rPr>
              <w:t>При ошибке старта окно автоматически показывает состояние Compose и последние журналы. Также откройте Docker Desktop → Containers → testpilot → Logs.</w:t>
            </w:r>
          </w:p>
        </w:tc>
      </w:tr>
    </w:tbl>
    <w:p>
      <w:pPr>
        <w:spacing w:after="20"/>
      </w:pPr>
    </w:p>
    <w:p>
      <w:r>
        <w:t>При обращении за помощью приложите сообщение из окна запуска и номер шага. Не прикладывайте `.env`, пароли или API-ключи. Проверьте журналы на отсутствие секретов и персональных данных.</w:t>
      </w:r>
    </w:p>
    <w:p>
      <w:bookmarkStart w:id="11" w:name="section_11"/>
      <w:pPr>
        <w:pStyle w:val="Heading1"/>
      </w:pPr>
      <w:r>
        <w:t>Контрольный список перед передачей или показом</w:t>
      </w:r>
      <w:bookmarkEnd w:id="11"/>
    </w:p>
    <w:p>
      <w:pPr>
        <w:pStyle w:val="ListBullet"/>
      </w:pPr>
      <w:r>
        <w:t>Docker Desktop показывает работающий Linux-движок.</w:t>
      </w:r>
    </w:p>
    <w:p>
      <w:pPr>
        <w:pStyle w:val="ListBullet"/>
      </w:pPr>
      <w:r>
        <w:t>Run-TestPilot.bat сообщил Ready и открыл браузер.</w:t>
      </w:r>
    </w:p>
    <w:p>
      <w:pPr>
        <w:pStyle w:val="ListBullet"/>
      </w:pPr>
      <w:r>
        <w:t>Страница localhost:8000 открывается, вход expert работает.</w:t>
      </w:r>
    </w:p>
    <w:p>
      <w:pPr>
        <w:pStyle w:val="ListBullet"/>
      </w:pPr>
      <w:r>
        <w:t>Учебный сценарий пройден заранее: 2 проверки пройдены, 2 ожидаемых расхождения, 0 ошибок выполнения, доступны 2 PNG.</w:t>
      </w:r>
    </w:p>
    <w:p>
      <w:pPr>
        <w:pStyle w:val="ListBullet"/>
      </w:pPr>
      <w:r>
        <w:t>Если вы создавали .env, он закрыт и не попадает в демонстрацию экрана.</w:t>
      </w:r>
    </w:p>
    <w:p>
      <w:pPr>
        <w:pStyle w:val="ListBullet"/>
      </w:pPr>
      <w:r>
        <w:t>Понятно обозначены ограничения: нет живой 1С, бинарного парсера и проверенного вызова реальной модели.</w:t>
      </w:r>
    </w:p>
    <w:p>
      <w:pPr>
        <w:pStyle w:val="ListBullet"/>
      </w:pPr>
      <w:r>
        <w:t>Известен остановочный файл Stop-TestPilot.bat.</w:t>
      </w:r>
    </w:p>
    <w:p>
      <w:bookmarkStart w:id="12" w:name="section_12"/>
      <w:pPr>
        <w:pStyle w:val="Heading1"/>
      </w:pPr>
      <w:r>
        <w:t>Проверенная база и границы руководства</w:t>
      </w:r>
      <w:bookmarkEnd w:id="12"/>
    </w:p>
    <w:p>
      <w:r>
        <w:t>В облачном Linux прошли 84 pytest с PostgreSQL, сквозной HTTP/Playwright-сценарий и проверка сохранения данных после перезапуска. Compose-конфигурация прошла проверку. Попытка сборки в этой облачной среде остановилась из-за отсутствия DNS доступа из Docker build к package index; полный запуск на Windows Docker Desktop здесь не выполнялся.</w:t>
      </w:r>
    </w:p>
    <w:p>
      <w:r>
        <w:t>PowerShell-оболочка запускает весь стек и открывает браузер одним двойным щелчком; требуется только заранее установленный Docker Desktop. На этой среде проверен синтаксис Compose, но не установка Docker Desktop на физическом Windows. Настоящая 1С/OData и разбор бинарных выгрузок не подключены.</w:t>
      </w:r>
    </w:p>
    <w:p>
      <w:r>
        <w:t>Приложение предназначено для локальной демонстрации и не настроено как публичная многопользовательская служба.</w:t>
      </w:r>
    </w:p>
    <w:p>
      <w:r>
        <w:t>Полезные ссылки:</w:t>
      </w:r>
    </w:p>
    <w:p>
      <w:pPr>
        <w:pStyle w:val="ListBullet"/>
      </w:pPr>
      <w:r>
        <w:t xml:space="preserve">Код: </w:t>
      </w:r>
      <w:hyperlink r:id="rId11">
        <w:r>
          <w:rPr>
            <w:color w:val="2457B7"/>
          </w:rPr>
          <w:t>https://github.com/ilnurcode/testpilot_1c</w:t>
        </w:r>
      </w:hyperlink>
      <w:r/>
    </w:p>
    <w:p>
      <w:pPr>
        <w:pStyle w:val="ListBullet"/>
      </w:pPr>
      <w:r>
        <w:t xml:space="preserve">Полная установка: </w:t>
      </w:r>
      <w:hyperlink r:id="rId14">
        <w:r>
          <w:rPr>
            <w:color w:val="2457B7"/>
          </w:rPr>
          <w:t>https://github.com/ilnurcode/testpilot_1c/blob/main/docs/windows.md</w:t>
        </w:r>
      </w:hyperlink>
      <w:r/>
    </w:p>
    <w:p>
      <w:pPr>
        <w:pStyle w:val="ListBullet"/>
      </w:pPr>
      <w:r>
        <w:t xml:space="preserve">Сценарий показа: </w:t>
      </w:r>
      <w:hyperlink r:id="rId15">
        <w:r>
          <w:rPr>
            <w:color w:val="2457B7"/>
          </w:rPr>
          <w:t>https://github.com/ilnurcode/testpilot_1c/blob/main/docs/presentation.md</w:t>
        </w:r>
      </w:hyperlink>
      <w:r/>
    </w:p>
    <w:sectPr w:rsidR="00FC693F" w:rsidRPr="0006063C" w:rsidSect="00034616">
      <w:headerReference w:type="default" r:id="rId9"/>
      <w:footerReference w:type="default" r:id="rId10"/>
      <w:pgSz w:w="11906" w:h="16838"/>
      <w:pgMar w:top="1020" w:right="1020" w:bottom="1020" w:left="1134"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TestPilot 1C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TestPilot 1C  •  Руководство пользователя  •  Docker Desktop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rial" w:hAnsi="Arial"/>
      <w:i/>
      <w:iCs/>
      <w:color w:val="17365D"/>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69" w:lineRule="auto"/>
      <w:ind w:left="720"/>
      <w:contextualSpacing/>
    </w:pPr>
    <w:rPr>
      <w:rFonts w:ascii="Arial" w:hAnsi="Arial"/>
      <w:sz w:val="20"/>
    </w:rPr>
  </w:style>
  <w:style w:type="paragraph" w:styleId="BodyText">
    <w:name w:val="Body Text"/>
    <w:basedOn w:val="Normal"/>
    <w:link w:val="BodyTextChar"/>
    <w:uiPriority w:val="99"/>
    <w:unhideWhenUsed/>
    <w:rsid w:val="00AA1D8D"/>
    <w:pPr>
      <w:spacing w:after="120" w:line="269" w:lineRule="auto"/>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ilnurcode/testpilot_1c" TargetMode="External"/><Relationship Id="rId12" Type="http://schemas.openxmlformats.org/officeDocument/2006/relationships/hyperlink" Target="https://docs.docker.com/desktop/setup/install/windows-install/" TargetMode="External"/><Relationship Id="rId13" Type="http://schemas.openxmlformats.org/officeDocument/2006/relationships/hyperlink" Target="https://github.com/ilnurcode/testpilot_1c," TargetMode="External"/><Relationship Id="rId14" Type="http://schemas.openxmlformats.org/officeDocument/2006/relationships/hyperlink" Target="https://github.com/ilnurcode/testpilot_1c/blob/main/docs/windows.md" TargetMode="External"/><Relationship Id="rId15" Type="http://schemas.openxmlformats.org/officeDocument/2006/relationships/hyperlink" Target="https://github.com/ilnurcode/testpilot_1c/blob/main/docs/presentat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TestPilot 1C — установка на Windows, использование и демонстрация</dc:title>
  <dc:subject>Пошаговая установка и учебная демонстрация</dc:subject>
  <dc:creator>TestPilot 1C</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