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Tsena Malagasy</w:t>
      </w:r>
    </w:p>
    <w:p>
      <w:pPr>
        <w:spacing w:after="400"/>
        <w:jc w:val="center"/>
      </w:pPr>
      <w:r>
        <w:rPr>
          <w:i/>
          <w:iCs/>
          <w:sz w:val="24"/>
          <w:szCs w:val="24"/>
        </w:rPr>
        <w:t xml:space="preserve">Marché agricole direct producteur–consommateur — Application Android (Kotlin / Jetpack Compose)</w:t>
      </w:r>
    </w:p>
    <w:p>
      <w:pPr>
        <w:pStyle w:val="Heading1"/>
        <w:spacing w:after="150" w:before="300"/>
      </w:pPr>
      <w:r>
        <w:t xml:space="preserve">1. Contexte et pertinence du projet</w:t>
      </w:r>
    </w:p>
    <w:p>
      <w:pPr>
        <w:spacing w:after="120"/>
      </w:pPr>
      <w:r>
        <w:t xml:space="preserve">À Madagascar, un petit producteur agricole (vanille, café, girofle, riz, litchi…) vend souvent via plusieurs intermédiaires avant d'atteindre le consommateur final : chaque intermédiaire prélève une marge, le producteur touche une fraction du prix réel du marché, et l'acheteur en ville paie plus cher que nécessaire. En parallèle, une partie de la récolte est perdue faute d'acheteur identifié à temps.</w:t>
      </w:r>
    </w:p>
    <w:p>
      <w:pPr>
        <w:spacing w:after="120"/>
      </w:pPr>
      <w:r>
        <w:t xml:space="preserve">Tsena Malagasy (« marché malagasy ») répond à ce problème par une mise en relation directe : le producteur publie une annonce (produit, quantité, prix ou « à négocier », village, contact) ; l'acheteur parcourt les annonces disponibles, filtre par village ou trie par prix, puis contacte directement le producteur par téléphone. Aucun paiement n'est intégré dans cette version : la transaction reste en liquide, comme aujourd'hui — le but est uniquement de réduire la distance informationnelle entre l'offre et la demande.</w:t>
      </w:r>
    </w:p>
    <w:p>
      <w:pPr>
        <w:spacing w:after="120"/>
      </w:pPr>
      <w:r>
        <w:t xml:space="preserve">Ce choix technique (Kotlin natif + Jetpack Compose, sans paiement ni serveur central) correspond exactement au périmètre couvert par le module : cycle de vie d'une Activity, Compose et son état, ViewModel/StateFlow, navigation entre écrans, et persistance locale avec Room.</w:t>
      </w:r>
    </w:p>
    <w:p>
      <w:pPr>
        <w:pStyle w:val="Heading1"/>
        <w:spacing w:after="150" w:before="300"/>
      </w:pPr>
      <w:r>
        <w:t xml:space="preserve">2. Ce qui est nécessaire et pertinent pour le projet</w:t>
      </w:r>
    </w:p>
    <w:p>
      <w:pPr>
        <w:pStyle w:val="Heading2"/>
        <w:spacing w:after="120" w:before="240"/>
      </w:pPr>
      <w:r>
        <w:t xml:space="preserve">2.1 Fonctionnalités retenues (MVP)</w:t>
      </w:r>
    </w:p>
    <w:p>
      <w:pPr>
        <w:pStyle w:val="ListParagraph"/>
        <w:numPr>
          <w:ilvl w:val="0"/>
          <w:numId w:val="2"/>
        </w:numPr>
        <w:spacing w:after="60"/>
      </w:pPr>
      <w:r>
        <w:rPr>
          <w:b w:val="false"/>
          <w:bCs w:val="false"/>
        </w:rPr>
        <w:t xml:space="preserve">Écran Liste : parcourir les annonces actives, filtrer par village, trier par date ou par prix croissant.</w:t>
      </w:r>
    </w:p>
    <w:p>
      <w:pPr>
        <w:pStyle w:val="ListParagraph"/>
        <w:numPr>
          <w:ilvl w:val="0"/>
          <w:numId w:val="2"/>
        </w:numPr>
        <w:spacing w:after="60"/>
      </w:pPr>
      <w:r>
        <w:rPr>
          <w:b w:val="false"/>
          <w:bCs w:val="false"/>
        </w:rPr>
        <w:t xml:space="preserve">Écran Détail : voir une annonce complète et appeler le producteur en un tap (Intent implicite ACTION_DIAL).</w:t>
      </w:r>
    </w:p>
    <w:p>
      <w:pPr>
        <w:pStyle w:val="ListParagraph"/>
        <w:numPr>
          <w:ilvl w:val="0"/>
          <w:numId w:val="2"/>
        </w:numPr>
        <w:spacing w:after="60"/>
      </w:pPr>
      <w:r>
        <w:rPr>
          <w:b w:val="false"/>
          <w:bCs w:val="false"/>
        </w:rPr>
        <w:t xml:space="preserve">Écran Publier : formulaire producteur — produit, village, quantité, prix (optionnel), coordonnées.</w:t>
      </w:r>
    </w:p>
    <w:p>
      <w:pPr>
        <w:pStyle w:val="ListParagraph"/>
        <w:numPr>
          <w:ilvl w:val="0"/>
          <w:numId w:val="2"/>
        </w:numPr>
        <w:spacing w:after="60"/>
      </w:pPr>
      <w:r>
        <w:rPr>
          <w:b w:val="false"/>
          <w:bCs w:val="false"/>
        </w:rPr>
        <w:t xml:space="preserve">Persistance locale (Room) : les annonces survivent à la fermeture de l'application — utile en zone de connectivité intermittente.</w:t>
      </w:r>
    </w:p>
    <w:p>
      <w:pPr>
        <w:pStyle w:val="ListParagraph"/>
        <w:numPr>
          <w:ilvl w:val="0"/>
          <w:numId w:val="2"/>
        </w:numPr>
        <w:spacing w:after="60"/>
      </w:pPr>
      <w:r>
        <w:rPr>
          <w:b w:val="false"/>
          <w:bCs w:val="false"/>
        </w:rPr>
        <w:t xml:space="preserve">Marquer une annonce comme vendue (elle disparaît de la liste active sans être supprimée).</w:t>
      </w:r>
    </w:p>
    <w:p>
      <w:pPr>
        <w:pStyle w:val="Heading2"/>
        <w:spacing w:after="120" w:before="240"/>
      </w:pPr>
      <w:r>
        <w:t xml:space="preserve">2.2 Fonctionnalités volontairement exclues de cette version</w:t>
      </w:r>
    </w:p>
    <w:p>
      <w:pPr>
        <w:pStyle w:val="ListParagraph"/>
        <w:numPr>
          <w:ilvl w:val="0"/>
          <w:numId w:val="2"/>
        </w:numPr>
        <w:spacing w:after="60"/>
      </w:pPr>
      <w:r>
        <w:rPr>
          <w:b w:val="false"/>
          <w:bCs w:val="false"/>
        </w:rPr>
        <w:t xml:space="preserve">Paiement intégré : trop de friction/risque pour un MVP ; la transaction reste hors application.</w:t>
      </w:r>
    </w:p>
    <w:p>
      <w:pPr>
        <w:pStyle w:val="ListParagraph"/>
        <w:numPr>
          <w:ilvl w:val="0"/>
          <w:numId w:val="2"/>
        </w:numPr>
        <w:spacing w:after="60"/>
      </w:pPr>
      <w:r>
        <w:rPr>
          <w:b w:val="false"/>
          <w:bCs w:val="false"/>
        </w:rPr>
        <w:t xml:space="preserve">Compte utilisateur / authentification : hors périmètre du module, ajouté dans une itération ultérieure.</w:t>
      </w:r>
    </w:p>
    <w:p>
      <w:pPr>
        <w:pStyle w:val="ListParagraph"/>
        <w:numPr>
          <w:ilvl w:val="0"/>
          <w:numId w:val="2"/>
        </w:numPr>
        <w:spacing w:after="60"/>
      </w:pPr>
      <w:r>
        <w:rPr>
          <w:b w:val="false"/>
          <w:bCs w:val="false"/>
        </w:rPr>
        <w:t xml:space="preserve">Synchronisation serveur : cette version est mono-appareil ; le patron « offline-first » vu en cours (demosync) est le prolongement naturel si un backend est ajouté.</w:t>
      </w:r>
    </w:p>
    <w:p>
      <w:pPr>
        <w:pStyle w:val="Heading1"/>
        <w:spacing w:after="150" w:before="300"/>
      </w:pPr>
      <w:r>
        <w:t xml:space="preserve">3. Architecture technique</w:t>
      </w:r>
    </w:p>
    <w:p>
      <w:pPr>
        <w:spacing w:after="120"/>
      </w:pPr>
      <w:r>
        <w:t xml:space="preserve">L'application suit une architecture en trois couches, directement héritée de la structure enseignée dans les mini-TP 5 à 7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1850"/>
      </w:tblGrid>
      <w:tr>
        <w:tc>
          <w:tcPr>
            <w:tcW w:type="dxa" w:w="3000"/>
            <w:shd w:fill="2F5233" w:val="clear"/>
          </w:tcPr>
          <w:p>
            <w:r>
              <w:rPr>
                <w:b/>
                <w:bCs/>
                <w:color w:val="FFFFFF"/>
                <w:sz w:val="20"/>
                <w:szCs w:val="20"/>
              </w:rPr>
              <w:t xml:space="preserve">Couche</w:t>
            </w:r>
          </w:p>
        </w:tc>
        <w:tc>
          <w:tcPr>
            <w:tcW w:type="dxa" w:w="4500"/>
            <w:shd w:fill="2F5233" w:val="clear"/>
          </w:tcPr>
          <w:p>
            <w:r>
              <w:rPr>
                <w:b/>
                <w:bCs/>
                <w:color w:val="FFFFFF"/>
                <w:sz w:val="20"/>
                <w:szCs w:val="20"/>
              </w:rPr>
              <w:t xml:space="preserve">Rôle</w:t>
            </w:r>
          </w:p>
        </w:tc>
        <w:tc>
          <w:tcPr>
            <w:tcW w:type="dxa" w:w="1850"/>
            <w:shd w:fill="2F5233" w:val="clear"/>
          </w:tcPr>
          <w:p>
            <w:r>
              <w:rPr>
                <w:b/>
                <w:bCs/>
                <w:color w:val="FFFFFF"/>
                <w:sz w:val="20"/>
                <w:szCs w:val="20"/>
              </w:rPr>
              <w:t xml:space="preserve">Fichier</w:t>
            </w:r>
          </w:p>
        </w:tc>
      </w:tr>
      <w:tr>
        <w:tc>
          <w:tcPr>
            <w:tcW w:type="dxa" w:w="3000"/>
          </w:tcPr>
          <w:p>
            <w:r>
              <w:rPr>
                <w:b w:val="false"/>
                <w:bCs w:val="false"/>
                <w:sz w:val="20"/>
                <w:szCs w:val="20"/>
              </w:rPr>
              <w:t xml:space="preserve">UI (Compose)</w:t>
            </w:r>
          </w:p>
        </w:tc>
        <w:tc>
          <w:tcPr>
            <w:tcW w:type="dxa" w:w="4500"/>
          </w:tcPr>
          <w:p>
            <w:r>
              <w:rPr>
                <w:b w:val="false"/>
                <w:bCs w:val="false"/>
                <w:sz w:val="20"/>
                <w:szCs w:val="20"/>
              </w:rPr>
              <w:t xml:space="preserve">Affiche l'état, remonte les événements (clics) vers le ViewModel</w:t>
            </w:r>
          </w:p>
        </w:tc>
        <w:tc>
          <w:tcPr>
            <w:tcW w:type="dxa" w:w="1850"/>
          </w:tcPr>
          <w:p>
            <w:r>
              <w:rPr>
                <w:b w:val="false"/>
                <w:bCs w:val="false"/>
                <w:sz w:val="20"/>
                <w:szCs w:val="20"/>
              </w:rPr>
              <w:t xml:space="preserve">MainActivity.kt</w:t>
            </w:r>
          </w:p>
        </w:tc>
      </w:tr>
      <w:tr>
        <w:tc>
          <w:tcPr>
            <w:tcW w:type="dxa" w:w="3000"/>
          </w:tcPr>
          <w:p>
            <w:r>
              <w:rPr>
                <w:b w:val="false"/>
                <w:bCs w:val="false"/>
                <w:sz w:val="20"/>
                <w:szCs w:val="20"/>
              </w:rPr>
              <w:t xml:space="preserve">État (ViewModel)</w:t>
            </w:r>
          </w:p>
        </w:tc>
        <w:tc>
          <w:tcPr>
            <w:tcW w:type="dxa" w:w="4500"/>
          </w:tcPr>
          <w:p>
            <w:r>
              <w:rPr>
                <w:b w:val="false"/>
                <w:bCs w:val="false"/>
                <w:sz w:val="20"/>
                <w:szCs w:val="20"/>
              </w:rPr>
              <w:t xml:space="preserve">Porte l'état de l'écran dans un StateFlow ; survit à la rotation et à la navigation</w:t>
            </w:r>
          </w:p>
        </w:tc>
        <w:tc>
          <w:tcPr>
            <w:tcW w:type="dxa" w:w="1850"/>
          </w:tcPr>
          <w:p>
            <w:r>
              <w:rPr>
                <w:b w:val="false"/>
                <w:bCs w:val="false"/>
                <w:sz w:val="20"/>
                <w:szCs w:val="20"/>
              </w:rPr>
              <w:t xml:space="preserve">AnnonceViewModel.kt</w:t>
            </w:r>
          </w:p>
        </w:tc>
      </w:tr>
      <w:tr>
        <w:tc>
          <w:tcPr>
            <w:tcW w:type="dxa" w:w="3000"/>
          </w:tcPr>
          <w:p>
            <w:r>
              <w:rPr>
                <w:b w:val="false"/>
                <w:bCs w:val="false"/>
                <w:sz w:val="20"/>
                <w:szCs w:val="20"/>
              </w:rPr>
              <w:t xml:space="preserve">Données (Room)</w:t>
            </w:r>
          </w:p>
        </w:tc>
        <w:tc>
          <w:tcPr>
            <w:tcW w:type="dxa" w:w="4500"/>
          </w:tcPr>
          <w:p>
            <w:r>
              <w:rPr>
                <w:b w:val="false"/>
                <w:bCs w:val="false"/>
                <w:sz w:val="20"/>
                <w:szCs w:val="20"/>
              </w:rPr>
              <w:t xml:space="preserve">Source de vérité : Entity, DAO, Database</w:t>
            </w:r>
          </w:p>
        </w:tc>
        <w:tc>
          <w:tcPr>
            <w:tcW w:type="dxa" w:w="1850"/>
          </w:tcPr>
          <w:p>
            <w:r>
              <w:rPr>
                <w:b w:val="false"/>
                <w:bCs w:val="false"/>
                <w:sz w:val="20"/>
                <w:szCs w:val="20"/>
              </w:rPr>
              <w:t xml:space="preserve">Donnees.kt</w:t>
            </w:r>
          </w:p>
        </w:tc>
      </w:tr>
    </w:tbl>
    <w:p>
      <w:pPr>
        <w:spacing w:after="200"/>
      </w:pPr>
    </w:p>
    <w:p>
      <w:pPr>
        <w:spacing w:after="120"/>
      </w:pPr>
      <w:r>
        <w:t xml:space="preserve">Le flux est unidirectionnel : l'état descend de la base de données vers l'écran via des Flow ; les événements utilisateur remontent vers le ViewModel via des fonctions (publier(), changerVillage(), marquerVendue()). C'est le patron exact du mini-TP 6 (« l'état descend, les événements remontent »).</w:t>
      </w:r>
    </w:p>
    <w:p>
      <w:pPr>
        <w:pStyle w:val="Heading1"/>
        <w:spacing w:after="150" w:before="300"/>
      </w:pPr>
      <w:r>
        <w:t xml:space="preserve">4. Captures d'écran</w:t>
      </w:r>
    </w:p>
    <w:p>
      <w:pPr>
        <w:spacing w:after="120"/>
      </w:pPr>
      <w:r>
        <w:rPr>
          <w:i/>
          <w:iCs/>
          <w:color w:val="888888"/>
        </w:rPr>
        <w:t xml:space="preserve">[À compléter après exécution du projet dans Android Studio — insérer ici les captures des trois écrans : Liste, Détail, Publier, ainsi qu'une capture du Logcat si pertinent.]</w:t>
      </w:r>
    </w:p>
    <w:p>
      <w:pPr>
        <w:spacing w:after="100"/>
      </w:pPr>
    </w:p>
    <w:p>
      <w:pPr>
        <w:spacing w:after="120"/>
      </w:pPr>
      <w:r>
        <w:rPr>
          <w:i/>
          <w:iCs/>
        </w:rPr>
        <w:t xml:space="preserve">Écran Liste attendu : titre « Tsena Malagasy », compteur d'annonces, deux FilterChip de tri (Récentes / Prix croissant), une rangée de FilterChip par village, une LazyColumn de cartes produit, un bouton flottant « + » pour publier.</w:t>
      </w:r>
    </w:p>
    <w:p>
      <w:pPr>
        <w:spacing w:after="120"/>
      </w:pPr>
      <w:r>
        <w:rPr>
          <w:i/>
          <w:iCs/>
        </w:rPr>
        <w:t xml:space="preserve">Écran Détail attendu : nom du produit, village, quantité, prix (ou « à négocier »), nom et téléphone du producteur, bouton « Appeler le producteur », bouton « Marquer comme vendue ».</w:t>
      </w:r>
    </w:p>
    <w:p>
      <w:pPr>
        <w:spacing w:after="120"/>
      </w:pPr>
      <w:r>
        <w:rPr>
          <w:i/>
          <w:iCs/>
        </w:rPr>
        <w:t xml:space="preserve">Écran Publier attendu : formulaire à six champs, bouton « Publier l'annonce » désactivé tant que produit et village ne sont pas renseignés.</w:t>
      </w:r>
    </w:p>
    <w:p>
      <w:pPr>
        <w:pStyle w:val="Heading1"/>
        <w:spacing w:after="150" w:before="300"/>
      </w:pPr>
      <w:r>
        <w:t xml:space="preserve">5. Techniques du cours mobilisées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50"/>
      </w:tblGrid>
      <w:tr>
        <w:tc>
          <w:tcPr>
            <w:tcW w:type="dxa" w:w="3000"/>
            <w:shd w:fill="2F5233" w:val="clear"/>
          </w:tcPr>
          <w:p>
            <w:r>
              <w:rPr>
                <w:b/>
                <w:bCs/>
                <w:color w:val="FFFFFF"/>
                <w:sz w:val="20"/>
                <w:szCs w:val="20"/>
              </w:rPr>
              <w:t xml:space="preserve">Technique</w:t>
            </w:r>
          </w:p>
        </w:tc>
        <w:tc>
          <w:tcPr>
            <w:tcW w:type="dxa" w:w="1800"/>
            <w:shd w:fill="2F5233" w:val="clear"/>
          </w:tcPr>
          <w:p>
            <w:r>
              <w:rPr>
                <w:b/>
                <w:bCs/>
                <w:color w:val="FFFFFF"/>
                <w:sz w:val="20"/>
                <w:szCs w:val="20"/>
              </w:rPr>
              <w:t xml:space="preserve">Mini-TP d'origine</w:t>
            </w:r>
          </w:p>
        </w:tc>
        <w:tc>
          <w:tcPr>
            <w:tcW w:type="dxa" w:w="4550"/>
            <w:shd w:fill="2F5233" w:val="clear"/>
          </w:tcPr>
          <w:p>
            <w:r>
              <w:rPr>
                <w:b/>
                <w:bCs/>
                <w:color w:val="FFFFFF"/>
                <w:sz w:val="20"/>
                <w:szCs w:val="20"/>
              </w:rPr>
              <w:t xml:space="preserve">Usage dans Tsena Malagasy</w:t>
            </w:r>
          </w:p>
        </w:tc>
      </w:tr>
      <w:tr>
        <w:tc>
          <w:tcPr>
            <w:tcW w:type="dxa" w:w="3000"/>
          </w:tcPr>
          <w:p>
            <w:r>
              <w:rPr>
                <w:b w:val="false"/>
                <w:bCs w:val="false"/>
                <w:sz w:val="20"/>
                <w:szCs w:val="20"/>
              </w:rPr>
              <w:t xml:space="preserve">Null safety (?., ?:, let)</w:t>
            </w:r>
          </w:p>
        </w:tc>
        <w:tc>
          <w:tcPr>
            <w:tcW w:type="dxa" w:w="1800"/>
          </w:tcPr>
          <w:p>
            <w:r>
              <w:rPr>
                <w:b w:val="false"/>
                <w:bCs w:val="false"/>
                <w:sz w:val="20"/>
                <w:szCs w:val="20"/>
              </w:rPr>
              <w:t xml:space="preserve">Mini-TP 1</w:t>
            </w:r>
          </w:p>
        </w:tc>
        <w:tc>
          <w:tcPr>
            <w:tcW w:type="dxa" w:w="4550"/>
          </w:tcPr>
          <w:p>
            <w:r>
              <w:rPr>
                <w:b w:val="false"/>
                <w:bCs w:val="false"/>
                <w:sz w:val="20"/>
                <w:szCs w:val="20"/>
              </w:rPr>
              <w:t xml:space="preserve">prixKg: Double? — "à négocier" si le producteur ne fixe pas de prix</w:t>
            </w:r>
          </w:p>
        </w:tc>
      </w:tr>
      <w:tr>
        <w:tc>
          <w:tcPr>
            <w:tcW w:type="dxa" w:w="3000"/>
          </w:tcPr>
          <w:p>
            <w:r>
              <w:rPr>
                <w:b w:val="false"/>
                <w:bCs w:val="false"/>
                <w:sz w:val="20"/>
                <w:szCs w:val="20"/>
              </w:rPr>
              <w:t xml:space="preserve">Data class + copy()</w:t>
            </w:r>
          </w:p>
        </w:tc>
        <w:tc>
          <w:tcPr>
            <w:tcW w:type="dxa" w:w="1800"/>
          </w:tcPr>
          <w:p>
            <w:r>
              <w:rPr>
                <w:b w:val="false"/>
                <w:bCs w:val="false"/>
                <w:sz w:val="20"/>
                <w:szCs w:val="20"/>
              </w:rPr>
              <w:t xml:space="preserve">Mini-TP 1</w:t>
            </w:r>
          </w:p>
        </w:tc>
        <w:tc>
          <w:tcPr>
            <w:tcW w:type="dxa" w:w="4550"/>
          </w:tcPr>
          <w:p>
            <w:r>
              <w:rPr>
                <w:b w:val="false"/>
                <w:bCs w:val="false"/>
                <w:sz w:val="20"/>
                <w:szCs w:val="20"/>
              </w:rPr>
              <w:t xml:space="preserve">marquerVendue() : annonce.copy(vendue = true), sans muter l'original</w:t>
            </w:r>
          </w:p>
        </w:tc>
      </w:tr>
      <w:tr>
        <w:tc>
          <w:tcPr>
            <w:tcW w:type="dxa" w:w="3000"/>
          </w:tcPr>
          <w:p>
            <w:r>
              <w:rPr>
                <w:b w:val="false"/>
                <w:bCs w:val="false"/>
                <w:sz w:val="20"/>
                <w:szCs w:val="20"/>
              </w:rPr>
              <w:t xml:space="preserve">Expression when</w:t>
            </w:r>
          </w:p>
        </w:tc>
        <w:tc>
          <w:tcPr>
            <w:tcW w:type="dxa" w:w="1800"/>
          </w:tcPr>
          <w:p>
            <w:r>
              <w:rPr>
                <w:b w:val="false"/>
                <w:bCs w:val="false"/>
                <w:sz w:val="20"/>
                <w:szCs w:val="20"/>
              </w:rPr>
              <w:t xml:space="preserve">Mini-TP 1 / 7</w:t>
            </w:r>
          </w:p>
        </w:tc>
        <w:tc>
          <w:tcPr>
            <w:tcW w:type="dxa" w:w="4550"/>
          </w:tcPr>
          <w:p>
            <w:r>
              <w:rPr>
                <w:b w:val="false"/>
                <w:bCs w:val="false"/>
                <w:sz w:val="20"/>
                <w:szCs w:val="20"/>
              </w:rPr>
              <w:t xml:space="preserve">Choix de la liste (parDate / parPrix) selon le ModeTri courant</w:t>
            </w:r>
          </w:p>
        </w:tc>
      </w:tr>
      <w:tr>
        <w:tc>
          <w:tcPr>
            <w:tcW w:type="dxa" w:w="3000"/>
          </w:tcPr>
          <w:p>
            <w:r>
              <w:rPr>
                <w:b w:val="false"/>
                <w:bCs w:val="false"/>
                <w:sz w:val="20"/>
                <w:szCs w:val="20"/>
              </w:rPr>
              <w:t xml:space="preserve">Opérations de collections (filter, let)</w:t>
            </w:r>
          </w:p>
        </w:tc>
        <w:tc>
          <w:tcPr>
            <w:tcW w:type="dxa" w:w="1800"/>
          </w:tcPr>
          <w:p>
            <w:r>
              <w:rPr>
                <w:b w:val="false"/>
                <w:bCs w:val="false"/>
                <w:sz w:val="20"/>
                <w:szCs w:val="20"/>
              </w:rPr>
              <w:t xml:space="preserve">Mini-TP 1</w:t>
            </w:r>
          </w:p>
        </w:tc>
        <w:tc>
          <w:tcPr>
            <w:tcW w:type="dxa" w:w="4550"/>
          </w:tcPr>
          <w:p>
            <w:r>
              <w:rPr>
                <w:b w:val="false"/>
                <w:bCs w:val="false"/>
                <w:sz w:val="20"/>
                <w:szCs w:val="20"/>
              </w:rPr>
              <w:t xml:space="preserve">Filtrage par village en mémoire sur le résultat du Flow Room</w:t>
            </w:r>
          </w:p>
        </w:tc>
      </w:tr>
      <w:tr>
        <w:tc>
          <w:tcPr>
            <w:tcW w:type="dxa" w:w="3000"/>
          </w:tcPr>
          <w:p>
            <w:r>
              <w:rPr>
                <w:b w:val="false"/>
                <w:bCs w:val="false"/>
                <w:sz w:val="20"/>
                <w:szCs w:val="20"/>
              </w:rPr>
              <w:t xml:space="preserve">Coroutines (launch, suspend)</w:t>
            </w:r>
          </w:p>
        </w:tc>
        <w:tc>
          <w:tcPr>
            <w:tcW w:type="dxa" w:w="1800"/>
          </w:tcPr>
          <w:p>
            <w:r>
              <w:rPr>
                <w:b w:val="false"/>
                <w:bCs w:val="false"/>
                <w:sz w:val="20"/>
                <w:szCs w:val="20"/>
              </w:rPr>
              <w:t xml:space="preserve">Mini-TP 2 / 7</w:t>
            </w:r>
          </w:p>
        </w:tc>
        <w:tc>
          <w:tcPr>
            <w:tcW w:type="dxa" w:w="4550"/>
          </w:tcPr>
          <w:p>
            <w:r>
              <w:rPr>
                <w:b w:val="false"/>
                <w:bCs w:val="false"/>
                <w:sz w:val="20"/>
                <w:szCs w:val="20"/>
              </w:rPr>
              <w:t xml:space="preserve">viewModelScope.launch { dao.inserer(...) } — écriture non bloquante</w:t>
            </w:r>
          </w:p>
        </w:tc>
      </w:tr>
      <w:tr>
        <w:tc>
          <w:tcPr>
            <w:tcW w:type="dxa" w:w="3000"/>
          </w:tcPr>
          <w:p>
            <w:r>
              <w:rPr>
                <w:b w:val="false"/>
                <w:bCs w:val="false"/>
                <w:sz w:val="20"/>
                <w:szCs w:val="20"/>
              </w:rPr>
              <w:t xml:space="preserve">Cycle de vie / Intents</w:t>
            </w:r>
          </w:p>
        </w:tc>
        <w:tc>
          <w:tcPr>
            <w:tcW w:type="dxa" w:w="1800"/>
          </w:tcPr>
          <w:p>
            <w:r>
              <w:rPr>
                <w:b w:val="false"/>
                <w:bCs w:val="false"/>
                <w:sz w:val="20"/>
                <w:szCs w:val="20"/>
              </w:rPr>
              <w:t xml:space="preserve">Mini-TP 3</w:t>
            </w:r>
          </w:p>
        </w:tc>
        <w:tc>
          <w:tcPr>
            <w:tcW w:type="dxa" w:w="4550"/>
          </w:tcPr>
          <w:p>
            <w:r>
              <w:rPr>
                <w:b w:val="false"/>
                <w:bCs w:val="false"/>
                <w:sz w:val="20"/>
                <w:szCs w:val="20"/>
              </w:rPr>
              <w:t xml:space="preserve">Intent implicite ACTION_DIAL pour appeler le producteur</w:t>
            </w:r>
          </w:p>
        </w:tc>
      </w:tr>
      <w:tr>
        <w:tc>
          <w:tcPr>
            <w:tcW w:type="dxa" w:w="3000"/>
          </w:tcPr>
          <w:p>
            <w:r>
              <w:rPr>
                <w:b w:val="false"/>
                <w:bCs w:val="false"/>
                <w:sz w:val="20"/>
                <w:szCs w:val="20"/>
              </w:rPr>
              <w:t xml:space="preserve">État Compose (remember, mutableStateOf)</w:t>
            </w:r>
          </w:p>
        </w:tc>
        <w:tc>
          <w:tcPr>
            <w:tcW w:type="dxa" w:w="1800"/>
          </w:tcPr>
          <w:p>
            <w:r>
              <w:rPr>
                <w:b w:val="false"/>
                <w:bCs w:val="false"/>
                <w:sz w:val="20"/>
                <w:szCs w:val="20"/>
              </w:rPr>
              <w:t xml:space="preserve">Mini-TP 4</w:t>
            </w:r>
          </w:p>
        </w:tc>
        <w:tc>
          <w:tcPr>
            <w:tcW w:type="dxa" w:w="4550"/>
          </w:tcPr>
          <w:p>
            <w:r>
              <w:rPr>
                <w:b w:val="false"/>
                <w:bCs w:val="false"/>
                <w:sz w:val="20"/>
                <w:szCs w:val="20"/>
              </w:rPr>
              <w:t xml:space="preserve">Champs du formulaire Publier (state local, éphémère)</w:t>
            </w:r>
          </w:p>
        </w:tc>
      </w:tr>
      <w:tr>
        <w:tc>
          <w:tcPr>
            <w:tcW w:type="dxa" w:w="3000"/>
          </w:tcPr>
          <w:p>
            <w:r>
              <w:rPr>
                <w:b w:val="false"/>
                <w:bCs w:val="false"/>
                <w:sz w:val="20"/>
                <w:szCs w:val="20"/>
              </w:rPr>
              <w:t xml:space="preserve">Navigation Compose (NavHost)</w:t>
            </w:r>
          </w:p>
        </w:tc>
        <w:tc>
          <w:tcPr>
            <w:tcW w:type="dxa" w:w="1800"/>
          </w:tcPr>
          <w:p>
            <w:r>
              <w:rPr>
                <w:b w:val="false"/>
                <w:bCs w:val="false"/>
                <w:sz w:val="20"/>
                <w:szCs w:val="20"/>
              </w:rPr>
              <w:t xml:space="preserve">Mini-TP 5</w:t>
            </w:r>
          </w:p>
        </w:tc>
        <w:tc>
          <w:tcPr>
            <w:tcW w:type="dxa" w:w="4550"/>
          </w:tcPr>
          <w:p>
            <w:r>
              <w:rPr>
                <w:b w:val="false"/>
                <w:bCs w:val="false"/>
                <w:sz w:val="20"/>
                <w:szCs w:val="20"/>
              </w:rPr>
              <w:t xml:space="preserve">Trois écrans : liste / detail/{id} / publier</w:t>
            </w:r>
          </w:p>
        </w:tc>
      </w:tr>
      <w:tr>
        <w:tc>
          <w:tcPr>
            <w:tcW w:type="dxa" w:w="3000"/>
          </w:tcPr>
          <w:p>
            <w:r>
              <w:rPr>
                <w:b w:val="false"/>
                <w:bCs w:val="false"/>
                <w:sz w:val="20"/>
                <w:szCs w:val="20"/>
              </w:rPr>
              <w:t xml:space="preserve">ViewModel + StateFlow (state hoisting)</w:t>
            </w:r>
          </w:p>
        </w:tc>
        <w:tc>
          <w:tcPr>
            <w:tcW w:type="dxa" w:w="1800"/>
          </w:tcPr>
          <w:p>
            <w:r>
              <w:rPr>
                <w:b w:val="false"/>
                <w:bCs w:val="false"/>
                <w:sz w:val="20"/>
                <w:szCs w:val="20"/>
              </w:rPr>
              <w:t xml:space="preserve">Mini-TP 6</w:t>
            </w:r>
          </w:p>
        </w:tc>
        <w:tc>
          <w:tcPr>
            <w:tcW w:type="dxa" w:w="4550"/>
          </w:tcPr>
          <w:p>
            <w:r>
              <w:rPr>
                <w:b w:val="false"/>
                <w:bCs w:val="false"/>
                <w:sz w:val="20"/>
                <w:szCs w:val="20"/>
              </w:rPr>
              <w:t xml:space="preserve">AnnonceViewModel.uiState — survit à la rotation, contrairement au remember</w:t>
            </w:r>
          </w:p>
        </w:tc>
      </w:tr>
      <w:tr>
        <w:tc>
          <w:tcPr>
            <w:tcW w:type="dxa" w:w="3000"/>
          </w:tcPr>
          <w:p>
            <w:r>
              <w:rPr>
                <w:b w:val="false"/>
                <w:bCs w:val="false"/>
                <w:sz w:val="20"/>
                <w:szCs w:val="20"/>
              </w:rPr>
              <w:t xml:space="preserve">Room (Entity, DAO, Flow, combine)</w:t>
            </w:r>
          </w:p>
        </w:tc>
        <w:tc>
          <w:tcPr>
            <w:tcW w:type="dxa" w:w="1800"/>
          </w:tcPr>
          <w:p>
            <w:r>
              <w:rPr>
                <w:b w:val="false"/>
                <w:bCs w:val="false"/>
                <w:sz w:val="20"/>
                <w:szCs w:val="20"/>
              </w:rPr>
              <w:t xml:space="preserve">Mini-TP 7 / demosync</w:t>
            </w:r>
          </w:p>
        </w:tc>
        <w:tc>
          <w:tcPr>
            <w:tcW w:type="dxa" w:w="4550"/>
          </w:tcPr>
          <w:p>
            <w:r>
              <w:rPr>
                <w:b w:val="false"/>
                <w:bCs w:val="false"/>
                <w:sz w:val="20"/>
                <w:szCs w:val="20"/>
              </w:rPr>
              <w:t xml:space="preserve">Persistance locale, requêtes réactives, agrégation avec combine()</w:t>
            </w:r>
          </w:p>
        </w:tc>
      </w:tr>
    </w:tbl>
    <w:p>
      <w:pPr>
        <w:pStyle w:val="Heading1"/>
        <w:spacing w:after="150" w:before="300"/>
      </w:pPr>
      <w:r>
        <w:t xml:space="preserve">6. Annexe A — Modèle de données</w:t>
      </w:r>
    </w:p>
    <w:p>
      <w:pPr>
        <w:spacing w:after="120"/>
      </w:pPr>
      <w:r>
        <w:t xml:space="preserve">Une seule table pour cette version, pensée pour rester lisible pour un premier projet :</w:t>
      </w:r>
    </w:p>
    <w:p>
      <w:pPr>
        <w:spacing w:after="0"/>
      </w:pPr>
      <w:r>
        <w:rPr>
          <w:rFonts w:ascii="Consolas" w:cs="Consolas" w:eastAsia="Consolas" w:hAnsi="Consolas"/>
          <w:sz w:val="18"/>
          <w:szCs w:val="18"/>
        </w:rPr>
        <w:t xml:space="preserve">@Entity(tableName = "annonces")</w:t>
      </w:r>
    </w:p>
    <w:p>
      <w:pPr>
        <w:spacing w:after="0"/>
      </w:pPr>
      <w:r>
        <w:rPr>
          <w:rFonts w:ascii="Consolas" w:cs="Consolas" w:eastAsia="Consolas" w:hAnsi="Consolas"/>
          <w:sz w:val="18"/>
          <w:szCs w:val="18"/>
        </w:rPr>
        <w:t xml:space="preserve">data class Annonce(</w:t>
      </w:r>
    </w:p>
    <w:p>
      <w:pPr>
        <w:spacing w:after="0"/>
      </w:pPr>
      <w:r>
        <w:rPr>
          <w:rFonts w:ascii="Consolas" w:cs="Consolas" w:eastAsia="Consolas" w:hAnsi="Consolas"/>
          <w:sz w:val="18"/>
          <w:szCs w:val="18"/>
        </w:rPr>
        <w:t xml:space="preserve">    @PrimaryKey(autoGenerate = true) val id: Int = 0,</w:t>
      </w:r>
    </w:p>
    <w:p>
      <w:pPr>
        <w:spacing w:after="0"/>
      </w:pPr>
      <w:r>
        <w:rPr>
          <w:rFonts w:ascii="Consolas" w:cs="Consolas" w:eastAsia="Consolas" w:hAnsi="Consolas"/>
          <w:sz w:val="18"/>
          <w:szCs w:val="18"/>
        </w:rPr>
        <w:t xml:space="preserve">    val nomProduit: String,</w:t>
      </w:r>
    </w:p>
    <w:p>
      <w:pPr>
        <w:spacing w:after="0"/>
      </w:pPr>
      <w:r>
        <w:rPr>
          <w:rFonts w:ascii="Consolas" w:cs="Consolas" w:eastAsia="Consolas" w:hAnsi="Consolas"/>
          <w:sz w:val="18"/>
          <w:szCs w:val="18"/>
        </w:rPr>
        <w:t xml:space="preserve">    val village: String,</w:t>
      </w:r>
    </w:p>
    <w:p>
      <w:pPr>
        <w:spacing w:after="0"/>
      </w:pPr>
      <w:r>
        <w:rPr>
          <w:rFonts w:ascii="Consolas" w:cs="Consolas" w:eastAsia="Consolas" w:hAnsi="Consolas"/>
          <w:sz w:val="18"/>
          <w:szCs w:val="18"/>
        </w:rPr>
        <w:t xml:space="preserve">    val quantiteKg: Double,</w:t>
      </w:r>
    </w:p>
    <w:p>
      <w:pPr>
        <w:spacing w:after="0"/>
      </w:pPr>
      <w:r>
        <w:rPr>
          <w:rFonts w:ascii="Consolas" w:cs="Consolas" w:eastAsia="Consolas" w:hAnsi="Consolas"/>
          <w:sz w:val="18"/>
          <w:szCs w:val="18"/>
        </w:rPr>
        <w:t xml:space="preserve">    val prixKg: Double?,           // null = "à négocier"</w:t>
      </w:r>
    </w:p>
    <w:p>
      <w:pPr>
        <w:spacing w:after="0"/>
      </w:pPr>
      <w:r>
        <w:rPr>
          <w:rFonts w:ascii="Consolas" w:cs="Consolas" w:eastAsia="Consolas" w:hAnsi="Consolas"/>
          <w:sz w:val="18"/>
          <w:szCs w:val="18"/>
        </w:rPr>
        <w:t xml:space="preserve">    val nomProducteur: String,</w:t>
      </w:r>
    </w:p>
    <w:p>
      <w:pPr>
        <w:spacing w:after="0"/>
      </w:pPr>
      <w:r>
        <w:rPr>
          <w:rFonts w:ascii="Consolas" w:cs="Consolas" w:eastAsia="Consolas" w:hAnsi="Consolas"/>
          <w:sz w:val="18"/>
          <w:szCs w:val="18"/>
        </w:rPr>
        <w:t xml:space="preserve">    val telephone: String,</w:t>
      </w:r>
    </w:p>
    <w:p>
      <w:pPr>
        <w:spacing w:after="0"/>
      </w:pPr>
      <w:r>
        <w:rPr>
          <w:rFonts w:ascii="Consolas" w:cs="Consolas" w:eastAsia="Consolas" w:hAnsi="Consolas"/>
          <w:sz w:val="18"/>
          <w:szCs w:val="18"/>
        </w:rPr>
        <w:t xml:space="preserve">    val dateISO: String,</w:t>
      </w:r>
    </w:p>
    <w:p>
      <w:pPr>
        <w:spacing w:after="0"/>
      </w:pPr>
      <w:r>
        <w:rPr>
          <w:rFonts w:ascii="Consolas" w:cs="Consolas" w:eastAsia="Consolas" w:hAnsi="Consolas"/>
          <w:sz w:val="18"/>
          <w:szCs w:val="18"/>
        </w:rPr>
        <w:t xml:space="preserve">    val vendue: Boolean = false,</w:t>
      </w:r>
    </w:p>
    <w:p>
      <w:pPr>
        <w:spacing w:after="0"/>
      </w:pPr>
      <w:r>
        <w:rPr>
          <w:rFonts w:ascii="Consolas" w:cs="Consolas" w:eastAsia="Consolas" w:hAnsi="Consolas"/>
          <w:sz w:val="18"/>
          <w:szCs w:val="18"/>
        </w:rPr>
        <w:t xml:space="preserve">)</w:t>
      </w:r>
    </w:p>
    <w:p>
      <w:pPr>
        <w:spacing w:after="200"/>
      </w:pPr>
    </w:p>
    <w:p>
      <w:pPr>
        <w:pStyle w:val="Heading1"/>
        <w:spacing w:after="150" w:before="300"/>
      </w:pPr>
      <w:r>
        <w:t xml:space="preserve">7. Annexe B — Extraits de code commentés</w:t>
      </w:r>
    </w:p>
    <w:p>
      <w:pPr>
        <w:pStyle w:val="Heading2"/>
        <w:spacing w:after="120" w:before="240"/>
      </w:pPr>
      <w:r>
        <w:t xml:space="preserve">7.1 Le DAO — requêtes réactives</w:t>
      </w:r>
    </w:p>
    <w:p>
      <w:pPr>
        <w:spacing w:after="0"/>
      </w:pPr>
      <w:r>
        <w:rPr>
          <w:rFonts w:ascii="Consolas" w:cs="Consolas" w:eastAsia="Consolas" w:hAnsi="Consolas"/>
          <w:sz w:val="18"/>
          <w:szCs w:val="18"/>
        </w:rPr>
        <w:t xml:space="preserve">@Dao</w:t>
      </w:r>
    </w:p>
    <w:p>
      <w:pPr>
        <w:spacing w:after="0"/>
      </w:pPr>
      <w:r>
        <w:rPr>
          <w:rFonts w:ascii="Consolas" w:cs="Consolas" w:eastAsia="Consolas" w:hAnsi="Consolas"/>
          <w:sz w:val="18"/>
          <w:szCs w:val="18"/>
        </w:rPr>
        <w:t xml:space="preserve">interface AnnonceDao {</w:t>
      </w:r>
    </w:p>
    <w:p>
      <w:pPr>
        <w:spacing w:after="0"/>
      </w:pPr>
      <w:r>
        <w:rPr>
          <w:rFonts w:ascii="Consolas" w:cs="Consolas" w:eastAsia="Consolas" w:hAnsi="Consolas"/>
          <w:sz w:val="18"/>
          <w:szCs w:val="18"/>
        </w:rPr>
        <w:t xml:space="preserve">    @Query("SELECT * FROM annonces WHERE vendue = 0 ORDER BY dateISO DESC, id DESC")</w:t>
      </w:r>
    </w:p>
    <w:p>
      <w:pPr>
        <w:spacing w:after="0"/>
      </w:pPr>
      <w:r>
        <w:rPr>
          <w:rFonts w:ascii="Consolas" w:cs="Consolas" w:eastAsia="Consolas" w:hAnsi="Consolas"/>
          <w:sz w:val="18"/>
          <w:szCs w:val="18"/>
        </w:rPr>
        <w:t xml:space="preserve">    fun annoncesActives(): Flow&lt;List&lt;Annonce&gt;&gt;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@Query("SELECT * FROM annonces WHERE vendue = 0 ORDER BY prixKg IS NULL, prixKg ASC")</w:t>
      </w:r>
    </w:p>
    <w:p>
      <w:pPr>
        <w:spacing w:after="0"/>
      </w:pPr>
      <w:r>
        <w:rPr>
          <w:rFonts w:ascii="Consolas" w:cs="Consolas" w:eastAsia="Consolas" w:hAnsi="Consolas"/>
          <w:sz w:val="18"/>
          <w:szCs w:val="18"/>
        </w:rPr>
        <w:t xml:space="preserve">    fun parPrixCroissant(): Flow&lt;List&lt;Annonce&gt;&gt;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@Query("SELECT DISTINCT village FROM annonces ORDER BY village ASC")</w:t>
      </w:r>
    </w:p>
    <w:p>
      <w:pPr>
        <w:spacing w:after="0"/>
      </w:pPr>
      <w:r>
        <w:rPr>
          <w:rFonts w:ascii="Consolas" w:cs="Consolas" w:eastAsia="Consolas" w:hAnsi="Consolas"/>
          <w:sz w:val="18"/>
          <w:szCs w:val="18"/>
        </w:rPr>
        <w:t xml:space="preserve">    fun villages(): Flow&lt;List&lt;String&gt;&gt;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@Insert suspend fun inserer(annonce: Annonce): Long</w:t>
      </w:r>
    </w:p>
    <w:p>
      <w:pPr>
        <w:spacing w:after="0"/>
      </w:pPr>
      <w:r>
        <w:rPr>
          <w:rFonts w:ascii="Consolas" w:cs="Consolas" w:eastAsia="Consolas" w:hAnsi="Consolas"/>
          <w:sz w:val="18"/>
          <w:szCs w:val="18"/>
        </w:rPr>
        <w:t xml:space="preserve">    @Update suspend fun modifier(annonce: Annonce)</w:t>
      </w:r>
    </w:p>
    <w:p>
      <w:pPr>
        <w:spacing w:after="0"/>
      </w:pPr>
      <w:r>
        <w:rPr>
          <w:rFonts w:ascii="Consolas" w:cs="Consolas" w:eastAsia="Consolas" w:hAnsi="Consolas"/>
          <w:sz w:val="18"/>
          <w:szCs w:val="18"/>
        </w:rPr>
        <w:t xml:space="preserve">}</w:t>
      </w:r>
    </w:p>
    <w:p>
      <w:pPr>
        <w:spacing w:after="200"/>
      </w:pPr>
    </w:p>
    <w:p>
      <w:pPr>
        <w:pStyle w:val="Heading2"/>
        <w:spacing w:after="120" w:before="240"/>
      </w:pPr>
      <w:r>
        <w:t xml:space="preserve">7.2 Le ViewModel — combine() de plusieurs Flow</w:t>
      </w:r>
    </w:p>
    <w:p>
      <w:pPr>
        <w:spacing w:after="0"/>
      </w:pPr>
      <w:r>
        <w:rPr>
          <w:rFonts w:ascii="Consolas" w:cs="Consolas" w:eastAsia="Consolas" w:hAnsi="Consolas"/>
          <w:sz w:val="18"/>
          <w:szCs w:val="18"/>
        </w:rPr>
        <w:t xml:space="preserve">val uiState: StateFlow&lt;EtatUi&gt; =</w:t>
      </w:r>
    </w:p>
    <w:p>
      <w:pPr>
        <w:spacing w:after="0"/>
      </w:pPr>
      <w:r>
        <w:rPr>
          <w:rFonts w:ascii="Consolas" w:cs="Consolas" w:eastAsia="Consolas" w:hAnsi="Consolas"/>
          <w:sz w:val="18"/>
          <w:szCs w:val="18"/>
        </w:rPr>
        <w:t xml:space="preserve">    combine(</w:t>
      </w:r>
    </w:p>
    <w:p>
      <w:pPr>
        <w:spacing w:after="0"/>
      </w:pPr>
      <w:r>
        <w:rPr>
          <w:rFonts w:ascii="Consolas" w:cs="Consolas" w:eastAsia="Consolas" w:hAnsi="Consolas"/>
          <w:sz w:val="18"/>
          <w:szCs w:val="18"/>
        </w:rPr>
        <w:t xml:space="preserve">        dao.annoncesActives(), dao.parPrixCroissant(),</w:t>
      </w:r>
    </w:p>
    <w:p>
      <w:pPr>
        <w:spacing w:after="0"/>
      </w:pPr>
      <w:r>
        <w:rPr>
          <w:rFonts w:ascii="Consolas" w:cs="Consolas" w:eastAsia="Consolas" w:hAnsi="Consolas"/>
          <w:sz w:val="18"/>
          <w:szCs w:val="18"/>
        </w:rPr>
        <w:t xml:space="preserve">        dao.villages(), villageFiltre, mode,</w:t>
      </w:r>
    </w:p>
    <w:p>
      <w:pPr>
        <w:spacing w:after="0"/>
      </w:pPr>
      <w:r>
        <w:rPr>
          <w:rFonts w:ascii="Consolas" w:cs="Consolas" w:eastAsia="Consolas" w:hAnsi="Consolas"/>
          <w:sz w:val="18"/>
          <w:szCs w:val="18"/>
        </w:rPr>
        <w:t xml:space="preserve">    ) { flux -&gt;</w:t>
      </w:r>
    </w:p>
    <w:p>
      <w:pPr>
        <w:spacing w:after="0"/>
      </w:pPr>
      <w:r>
        <w:rPr>
          <w:rFonts w:ascii="Consolas" w:cs="Consolas" w:eastAsia="Consolas" w:hAnsi="Consolas"/>
          <w:sz w:val="18"/>
          <w:szCs w:val="18"/>
        </w:rPr>
        <w:t xml:space="preserve">        val base = when (flux[4] as ModeTri) {</w:t>
      </w:r>
    </w:p>
    <w:p>
      <w:pPr>
        <w:spacing w:after="0"/>
      </w:pPr>
      <w:r>
        <w:rPr>
          <w:rFonts w:ascii="Consolas" w:cs="Consolas" w:eastAsia="Consolas" w:hAnsi="Consolas"/>
          <w:sz w:val="18"/>
          <w:szCs w:val="18"/>
        </w:rPr>
        <w:t xml:space="preserve">            ModeTri.RECENTES -&gt; flux[0] as List&lt;Annonce&gt;</w:t>
      </w:r>
    </w:p>
    <w:p>
      <w:pPr>
        <w:spacing w:after="0"/>
      </w:pPr>
      <w:r>
        <w:rPr>
          <w:rFonts w:ascii="Consolas" w:cs="Consolas" w:eastAsia="Consolas" w:hAnsi="Consolas"/>
          <w:sz w:val="18"/>
          <w:szCs w:val="18"/>
        </w:rPr>
        <w:t xml:space="preserve">            ModeTri.PRIX_CROISSANT -&gt; flux[1] as List&lt;Annonce&gt;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val village = flux[3] as String?</w:t>
      </w:r>
    </w:p>
    <w:p>
      <w:pPr>
        <w:spacing w:after="0"/>
      </w:pPr>
      <w:r>
        <w:rPr>
          <w:rFonts w:ascii="Consolas" w:cs="Consolas" w:eastAsia="Consolas" w:hAnsi="Consolas"/>
          <w:sz w:val="18"/>
          <w:szCs w:val="18"/>
        </w:rPr>
        <w:t xml:space="preserve">        val liste = village?.let { v -&gt; base.filter { it.village == v } } ?: base</w:t>
      </w:r>
    </w:p>
    <w:p>
      <w:pPr>
        <w:spacing w:after="0"/>
      </w:pPr>
      <w:r>
        <w:rPr>
          <w:rFonts w:ascii="Consolas" w:cs="Consolas" w:eastAsia="Consolas" w:hAnsi="Consolas"/>
          <w:sz w:val="18"/>
          <w:szCs w:val="18"/>
        </w:rPr>
        <w:t xml:space="preserve">        EtatUi(annonces = liste, villages = flux[2] as List&lt;String&gt;,</w:t>
      </w:r>
    </w:p>
    <w:p>
      <w:pPr>
        <w:spacing w:after="0"/>
      </w:pPr>
      <w:r>
        <w:rPr>
          <w:rFonts w:ascii="Consolas" w:cs="Consolas" w:eastAsia="Consolas" w:hAnsi="Consolas"/>
          <w:sz w:val="18"/>
          <w:szCs w:val="18"/>
        </w:rPr>
        <w:t xml:space="preserve">               villageFiltre = village, mode = flux[4] as ModeTri)</w:t>
      </w:r>
    </w:p>
    <w:p>
      <w:pPr>
        <w:spacing w:after="0"/>
      </w:pPr>
      <w:r>
        <w:rPr>
          <w:rFonts w:ascii="Consolas" w:cs="Consolas" w:eastAsia="Consolas" w:hAnsi="Consolas"/>
          <w:sz w:val="18"/>
          <w:szCs w:val="18"/>
        </w:rPr>
        <w:t xml:space="preserve">    }.stateIn(viewModelScope, SharingStarted.WhileSubscribed(5_000), EtatUi())</w:t>
      </w:r>
    </w:p>
    <w:p>
      <w:pPr>
        <w:spacing w:after="200"/>
      </w:pPr>
    </w:p>
    <w:p>
      <w:pPr>
        <w:pStyle w:val="Heading2"/>
        <w:spacing w:after="120" w:before="240"/>
      </w:pPr>
      <w:r>
        <w:t xml:space="preserve">7.3 L'écran Détail — Intent implicite pour appeler</w:t>
      </w:r>
    </w:p>
    <w:p>
      <w:pPr>
        <w:spacing w:after="0"/>
      </w:pPr>
      <w:r>
        <w:rPr>
          <w:rFonts w:ascii="Consolas" w:cs="Consolas" w:eastAsia="Consolas" w:hAnsi="Consolas"/>
          <w:sz w:val="18"/>
          <w:szCs w:val="18"/>
        </w:rPr>
        <w:t xml:space="preserve">Button(onClick = {</w:t>
      </w:r>
    </w:p>
    <w:p>
      <w:pPr>
        <w:spacing w:after="0"/>
      </w:pPr>
      <w:r>
        <w:rPr>
          <w:rFonts w:ascii="Consolas" w:cs="Consolas" w:eastAsia="Consolas" w:hAnsi="Consolas"/>
          <w:sz w:val="18"/>
          <w:szCs w:val="18"/>
        </w:rPr>
        <w:t xml:space="preserve">    val intent = Intent(Intent.ACTION_DIAL, Uri.parse("tel:${a.telephone}"))</w:t>
      </w:r>
    </w:p>
    <w:p>
      <w:pPr>
        <w:spacing w:after="0"/>
      </w:pPr>
      <w:r>
        <w:rPr>
          <w:rFonts w:ascii="Consolas" w:cs="Consolas" w:eastAsia="Consolas" w:hAnsi="Consolas"/>
          <w:sz w:val="18"/>
          <w:szCs w:val="18"/>
        </w:rPr>
        <w:t xml:space="preserve">    context.startActivity(intent)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Icon(Icons.Filled.Call, contentDescription = null)</w:t>
      </w:r>
    </w:p>
    <w:p>
      <w:pPr>
        <w:spacing w:after="0"/>
      </w:pPr>
      <w:r>
        <w:rPr>
          <w:rFonts w:ascii="Consolas" w:cs="Consolas" w:eastAsia="Consolas" w:hAnsi="Consolas"/>
          <w:sz w:val="18"/>
          <w:szCs w:val="18"/>
        </w:rPr>
        <w:t xml:space="preserve">    Text("  Appeler le producteur")</w:t>
      </w:r>
    </w:p>
    <w:p>
      <w:pPr>
        <w:spacing w:after="0"/>
      </w:pPr>
      <w:r>
        <w:rPr>
          <w:rFonts w:ascii="Consolas" w:cs="Consolas" w:eastAsia="Consolas" w:hAnsi="Consolas"/>
          <w:sz w:val="18"/>
          <w:szCs w:val="18"/>
        </w:rPr>
        <w:t xml:space="preserve">}</w:t>
      </w:r>
    </w:p>
    <w:p>
      <w:pPr>
        <w:pStyle w:val="Heading1"/>
        <w:spacing w:after="150" w:before="300"/>
      </w:pPr>
      <w:r>
        <w:t xml:space="preserve">8. Annexe C — Jeu de données de démonstration</w:t>
      </w:r>
    </w:p>
    <w:p>
      <w:pPr>
        <w:spacing w:after="120"/>
      </w:pPr>
      <w:r>
        <w:t xml:space="preserve">Cinq annonces sont insérées automatiquement au premier lancement (init { } du ViewModel), pour permettre une démonstration immédiate sans saisie manuelle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500"/>
        <w:gridCol w:w="1650"/>
        <w:gridCol w:w="1800"/>
      </w:tblGrid>
      <w:tr>
        <w:tc>
          <w:tcPr>
            <w:tcW w:type="dxa" w:w="2200"/>
            <w:shd w:fill="2F5233" w:val="clear"/>
          </w:tcPr>
          <w:p>
            <w:r>
              <w:rPr>
                <w:b/>
                <w:bCs/>
                <w:color w:val="FFFFFF"/>
                <w:sz w:val="20"/>
                <w:szCs w:val="20"/>
              </w:rPr>
              <w:t xml:space="preserve">Produit</w:t>
            </w:r>
          </w:p>
        </w:tc>
        <w:tc>
          <w:tcPr>
            <w:tcW w:type="dxa" w:w="2200"/>
            <w:shd w:fill="2F5233" w:val="clear"/>
          </w:tcPr>
          <w:p>
            <w:r>
              <w:rPr>
                <w:b/>
                <w:bCs/>
                <w:color w:val="FFFFFF"/>
                <w:sz w:val="20"/>
                <w:szCs w:val="20"/>
              </w:rPr>
              <w:t xml:space="preserve">Village</w:t>
            </w:r>
          </w:p>
        </w:tc>
        <w:tc>
          <w:tcPr>
            <w:tcW w:type="dxa" w:w="1500"/>
            <w:shd w:fill="2F5233" w:val="clear"/>
          </w:tcPr>
          <w:p>
            <w:r>
              <w:rPr>
                <w:b/>
                <w:bCs/>
                <w:color w:val="FFFFFF"/>
                <w:sz w:val="20"/>
                <w:szCs w:val="20"/>
              </w:rPr>
              <w:t xml:space="preserve">Qté (kg)</w:t>
            </w:r>
          </w:p>
        </w:tc>
        <w:tc>
          <w:tcPr>
            <w:tcW w:type="dxa" w:w="1650"/>
            <w:shd w:fill="2F5233" w:val="clear"/>
          </w:tcPr>
          <w:p>
            <w:r>
              <w:rPr>
                <w:b/>
                <w:bCs/>
                <w:color w:val="FFFFFF"/>
                <w:sz w:val="20"/>
                <w:szCs w:val="20"/>
              </w:rPr>
              <w:t xml:space="preserve">Prix/kg</w:t>
            </w:r>
          </w:p>
        </w:tc>
        <w:tc>
          <w:tcPr>
            <w:tcW w:type="dxa" w:w="1800"/>
            <w:shd w:fill="2F5233" w:val="clear"/>
          </w:tcPr>
          <w:p>
            <w:r>
              <w:rPr>
                <w:b/>
                <w:bCs/>
                <w:color w:val="FFFFFF"/>
                <w:sz w:val="20"/>
                <w:szCs w:val="20"/>
              </w:rPr>
              <w:t xml:space="preserve">Producteur</w:t>
            </w:r>
          </w:p>
        </w:tc>
      </w:tr>
      <w:tr>
        <w:tc>
          <w:tcPr>
            <w:tcW w:type="dxa" w:w="2200"/>
          </w:tcPr>
          <w:p>
            <w:r>
              <w:rPr>
                <w:b w:val="false"/>
                <w:bCs w:val="false"/>
                <w:sz w:val="20"/>
                <w:szCs w:val="20"/>
              </w:rPr>
              <w:t xml:space="preserve">Vanille Bourbon</w:t>
            </w:r>
          </w:p>
        </w:tc>
        <w:tc>
          <w:tcPr>
            <w:tcW w:type="dxa" w:w="2200"/>
          </w:tcPr>
          <w:p>
            <w:r>
              <w:rPr>
                <w:b w:val="false"/>
                <w:bCs w:val="false"/>
                <w:sz w:val="20"/>
                <w:szCs w:val="20"/>
              </w:rPr>
              <w:t xml:space="preserve">Ambodivoara</w:t>
            </w:r>
          </w:p>
        </w:tc>
        <w:tc>
          <w:tcPr>
            <w:tcW w:type="dxa" w:w="1500"/>
          </w:tcPr>
          <w:p>
            <w:r>
              <w:rPr>
                <w:b w:val="false"/>
                <w:bCs w:val="false"/>
                <w:sz w:val="20"/>
                <w:szCs w:val="20"/>
              </w:rPr>
              <w:t xml:space="preserve">8.0</w:t>
            </w:r>
          </w:p>
        </w:tc>
        <w:tc>
          <w:tcPr>
            <w:tcW w:type="dxa" w:w="1650"/>
          </w:tcPr>
          <w:p>
            <w:r>
              <w:rPr>
                <w:b w:val="false"/>
                <w:bCs w:val="false"/>
                <w:sz w:val="20"/>
                <w:szCs w:val="20"/>
              </w:rPr>
              <w:t xml:space="preserve">250 000 Ar</w:t>
            </w:r>
          </w:p>
        </w:tc>
        <w:tc>
          <w:tcPr>
            <w:tcW w:type="dxa" w:w="1800"/>
          </w:tcPr>
          <w:p>
            <w:r>
              <w:rPr>
                <w:b w:val="false"/>
                <w:bCs w:val="false"/>
                <w:sz w:val="20"/>
                <w:szCs w:val="20"/>
              </w:rPr>
              <w:t xml:space="preserve">RAKOTO Jean</w:t>
            </w:r>
          </w:p>
        </w:tc>
      </w:tr>
      <w:tr>
        <w:tc>
          <w:tcPr>
            <w:tcW w:type="dxa" w:w="2200"/>
          </w:tcPr>
          <w:p>
            <w:r>
              <w:rPr>
                <w:b w:val="false"/>
                <w:bCs w:val="false"/>
                <w:sz w:val="20"/>
                <w:szCs w:val="20"/>
              </w:rPr>
              <w:t xml:space="preserve">Riz Makalioka</w:t>
            </w:r>
          </w:p>
        </w:tc>
        <w:tc>
          <w:tcPr>
            <w:tcW w:type="dxa" w:w="2200"/>
          </w:tcPr>
          <w:p>
            <w:r>
              <w:rPr>
                <w:b w:val="false"/>
                <w:bCs w:val="false"/>
                <w:sz w:val="20"/>
                <w:szCs w:val="20"/>
              </w:rPr>
              <w:t xml:space="preserve">Ambodivoara</w:t>
            </w:r>
          </w:p>
        </w:tc>
        <w:tc>
          <w:tcPr>
            <w:tcW w:type="dxa" w:w="1500"/>
          </w:tcPr>
          <w:p>
            <w:r>
              <w:rPr>
                <w:b w:val="false"/>
                <w:bCs w:val="false"/>
                <w:sz w:val="20"/>
                <w:szCs w:val="20"/>
              </w:rPr>
              <w:t xml:space="preserve">120.0</w:t>
            </w:r>
          </w:p>
        </w:tc>
        <w:tc>
          <w:tcPr>
            <w:tcW w:type="dxa" w:w="1650"/>
          </w:tcPr>
          <w:p>
            <w:r>
              <w:rPr>
                <w:b w:val="false"/>
                <w:bCs w:val="false"/>
                <w:sz w:val="20"/>
                <w:szCs w:val="20"/>
              </w:rPr>
              <w:t xml:space="preserve">2 800 Ar</w:t>
            </w:r>
          </w:p>
        </w:tc>
        <w:tc>
          <w:tcPr>
            <w:tcW w:type="dxa" w:w="1800"/>
          </w:tcPr>
          <w:p>
            <w:r>
              <w:rPr>
                <w:b w:val="false"/>
                <w:bCs w:val="false"/>
                <w:sz w:val="20"/>
                <w:szCs w:val="20"/>
              </w:rPr>
              <w:t xml:space="preserve">RANDRIA Paul</w:t>
            </w:r>
          </w:p>
        </w:tc>
      </w:tr>
      <w:tr>
        <w:tc>
          <w:tcPr>
            <w:tcW w:type="dxa" w:w="2200"/>
          </w:tcPr>
          <w:p>
            <w:r>
              <w:rPr>
                <w:b w:val="false"/>
                <w:bCs w:val="false"/>
                <w:sz w:val="20"/>
                <w:szCs w:val="20"/>
              </w:rPr>
              <w:t xml:space="preserve">Litchi</w:t>
            </w:r>
          </w:p>
        </w:tc>
        <w:tc>
          <w:tcPr>
            <w:tcW w:type="dxa" w:w="2200"/>
          </w:tcPr>
          <w:p>
            <w:r>
              <w:rPr>
                <w:b w:val="false"/>
                <w:bCs w:val="false"/>
                <w:sz w:val="20"/>
                <w:szCs w:val="20"/>
              </w:rPr>
              <w:t xml:space="preserve">Antsirabe Nord</w:t>
            </w:r>
          </w:p>
        </w:tc>
        <w:tc>
          <w:tcPr>
            <w:tcW w:type="dxa" w:w="1500"/>
          </w:tcPr>
          <w:p>
            <w:r>
              <w:rPr>
                <w:b w:val="false"/>
                <w:bCs w:val="false"/>
                <w:sz w:val="20"/>
                <w:szCs w:val="20"/>
              </w:rPr>
              <w:t xml:space="preserve">60.0</w:t>
            </w:r>
          </w:p>
        </w:tc>
        <w:tc>
          <w:tcPr>
            <w:tcW w:type="dxa" w:w="1650"/>
          </w:tcPr>
          <w:p>
            <w:r>
              <w:rPr>
                <w:b w:val="false"/>
                <w:bCs w:val="false"/>
                <w:sz w:val="20"/>
                <w:szCs w:val="20"/>
              </w:rPr>
              <w:t xml:space="preserve">à négocier</w:t>
            </w:r>
          </w:p>
        </w:tc>
        <w:tc>
          <w:tcPr>
            <w:tcW w:type="dxa" w:w="1800"/>
          </w:tcPr>
          <w:p>
            <w:r>
              <w:rPr>
                <w:b w:val="false"/>
                <w:bCs w:val="false"/>
                <w:sz w:val="20"/>
                <w:szCs w:val="20"/>
              </w:rPr>
              <w:t xml:space="preserve">RASOA Marie</w:t>
            </w:r>
          </w:p>
        </w:tc>
      </w:tr>
      <w:tr>
        <w:tc>
          <w:tcPr>
            <w:tcW w:type="dxa" w:w="2200"/>
          </w:tcPr>
          <w:p>
            <w:r>
              <w:rPr>
                <w:b w:val="false"/>
                <w:bCs w:val="false"/>
                <w:sz w:val="20"/>
                <w:szCs w:val="20"/>
              </w:rPr>
              <w:t xml:space="preserve">Café Arabica</w:t>
            </w:r>
          </w:p>
        </w:tc>
        <w:tc>
          <w:tcPr>
            <w:tcW w:type="dxa" w:w="2200"/>
          </w:tcPr>
          <w:p>
            <w:r>
              <w:rPr>
                <w:b w:val="false"/>
                <w:bCs w:val="false"/>
                <w:sz w:val="20"/>
                <w:szCs w:val="20"/>
              </w:rPr>
              <w:t xml:space="preserve">Antsirabe Nord</w:t>
            </w:r>
          </w:p>
        </w:tc>
        <w:tc>
          <w:tcPr>
            <w:tcW w:type="dxa" w:w="1500"/>
          </w:tcPr>
          <w:p>
            <w:r>
              <w:rPr>
                <w:b w:val="false"/>
                <w:bCs w:val="false"/>
                <w:sz w:val="20"/>
                <w:szCs w:val="20"/>
              </w:rPr>
              <w:t xml:space="preserve">35.0</w:t>
            </w:r>
          </w:p>
        </w:tc>
        <w:tc>
          <w:tcPr>
            <w:tcW w:type="dxa" w:w="1650"/>
          </w:tcPr>
          <w:p>
            <w:r>
              <w:rPr>
                <w:b w:val="false"/>
                <w:bCs w:val="false"/>
                <w:sz w:val="20"/>
                <w:szCs w:val="20"/>
              </w:rPr>
              <w:t xml:space="preserve">12 000 Ar</w:t>
            </w:r>
          </w:p>
        </w:tc>
        <w:tc>
          <w:tcPr>
            <w:tcW w:type="dxa" w:w="1800"/>
          </w:tcPr>
          <w:p>
            <w:r>
              <w:rPr>
                <w:b w:val="false"/>
                <w:bCs w:val="false"/>
                <w:sz w:val="20"/>
                <w:szCs w:val="20"/>
              </w:rPr>
              <w:t xml:space="preserve">RASOA Marie</w:t>
            </w:r>
          </w:p>
        </w:tc>
      </w:tr>
      <w:tr>
        <w:tc>
          <w:tcPr>
            <w:tcW w:type="dxa" w:w="2200"/>
          </w:tcPr>
          <w:p>
            <w:r>
              <w:rPr>
                <w:b w:val="false"/>
                <w:bCs w:val="false"/>
                <w:sz w:val="20"/>
                <w:szCs w:val="20"/>
              </w:rPr>
              <w:t xml:space="preserve">Girofle</w:t>
            </w:r>
          </w:p>
        </w:tc>
        <w:tc>
          <w:tcPr>
            <w:tcW w:type="dxa" w:w="2200"/>
          </w:tcPr>
          <w:p>
            <w:r>
              <w:rPr>
                <w:b w:val="false"/>
                <w:bCs w:val="false"/>
                <w:sz w:val="20"/>
                <w:szCs w:val="20"/>
              </w:rPr>
              <w:t xml:space="preserve">Ambodivoara</w:t>
            </w:r>
          </w:p>
        </w:tc>
        <w:tc>
          <w:tcPr>
            <w:tcW w:type="dxa" w:w="1500"/>
          </w:tcPr>
          <w:p>
            <w:r>
              <w:rPr>
                <w:b w:val="false"/>
                <w:bCs w:val="false"/>
                <w:sz w:val="20"/>
                <w:szCs w:val="20"/>
              </w:rPr>
              <w:t xml:space="preserve">15.0</w:t>
            </w:r>
          </w:p>
        </w:tc>
        <w:tc>
          <w:tcPr>
            <w:tcW w:type="dxa" w:w="1650"/>
          </w:tcPr>
          <w:p>
            <w:r>
              <w:rPr>
                <w:b w:val="false"/>
                <w:bCs w:val="false"/>
                <w:sz w:val="20"/>
                <w:szCs w:val="20"/>
              </w:rPr>
              <w:t xml:space="preserve">38 000 Ar</w:t>
            </w:r>
          </w:p>
        </w:tc>
        <w:tc>
          <w:tcPr>
            <w:tcW w:type="dxa" w:w="1800"/>
          </w:tcPr>
          <w:p>
            <w:r>
              <w:rPr>
                <w:b w:val="false"/>
                <w:bCs w:val="false"/>
                <w:sz w:val="20"/>
                <w:szCs w:val="20"/>
              </w:rPr>
              <w:t xml:space="preserve">RAKOTO Jean</w:t>
            </w:r>
          </w:p>
        </w:tc>
      </w:tr>
    </w:tbl>
    <w:p>
      <w:pPr>
        <w:pStyle w:val="Heading1"/>
        <w:spacing w:after="150" w:before="300"/>
      </w:pPr>
      <w:r>
        <w:t xml:space="preserve">9. Pistes d'évolution</w:t>
      </w:r>
    </w:p>
    <w:p>
      <w:pPr>
        <w:pStyle w:val="ListParagraph"/>
        <w:numPr>
          <w:ilvl w:val="0"/>
          <w:numId w:val="2"/>
        </w:numPr>
        <w:spacing w:after="60"/>
      </w:pPr>
      <w:r>
        <w:rPr>
          <w:b w:val="false"/>
          <w:bCs w:val="false"/>
        </w:rPr>
        <w:t xml:space="preserve">Backend + synchronisation offline-first (patron démontré en cours, projet demosync) pour partager les annonces entre appareils.</w:t>
      </w:r>
    </w:p>
    <w:p>
      <w:pPr>
        <w:pStyle w:val="ListParagraph"/>
        <w:numPr>
          <w:ilvl w:val="0"/>
          <w:numId w:val="2"/>
        </w:numPr>
        <w:spacing w:after="60"/>
      </w:pPr>
      <w:r>
        <w:rPr>
          <w:b w:val="false"/>
          <w:bCs w:val="false"/>
        </w:rPr>
        <w:t xml:space="preserve">Géolocalisation pour trier par distance plutôt que par village saisi manuellement.</w:t>
      </w:r>
    </w:p>
    <w:p>
      <w:pPr>
        <w:pStyle w:val="ListParagraph"/>
        <w:numPr>
          <w:ilvl w:val="0"/>
          <w:numId w:val="2"/>
        </w:numPr>
        <w:spacing w:after="60"/>
      </w:pPr>
      <w:r>
        <w:rPr>
          <w:b w:val="false"/>
          <w:bCs w:val="false"/>
        </w:rPr>
        <w:t xml:space="preserve">Notification quand un nouveau produit apparaît dans un village suivi.</w:t>
      </w:r>
    </w:p>
    <w:p>
      <w:pPr>
        <w:pStyle w:val="ListParagraph"/>
        <w:numPr>
          <w:ilvl w:val="0"/>
          <w:numId w:val="2"/>
        </w:numPr>
        <w:spacing w:after="60"/>
      </w:pPr>
      <w:r>
        <w:rPr>
          <w:b w:val="false"/>
          <w:bCs w:val="false"/>
        </w:rPr>
        <w:t xml:space="preserve">Historique des prix par produit pour aider le producteur à ne pas se faire sous-payer.</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2026-09-17T10:54:10.237Z</dcterms:created>
  <dcterms:modified xsi:type="dcterms:W3CDTF">2026-09-17T10:54:10.246Z</dcterms:modified>
</cp:coreProperties>
</file>

<file path=docProps/custom.xml><?xml version="1.0" encoding="utf-8"?>
<Properties xmlns="http://schemas.openxmlformats.org/officeDocument/2006/custom-properties" xmlns:vt="http://schemas.openxmlformats.org/officeDocument/2006/docPropsVTypes"/>
</file>