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D3D2A" w14:textId="77777777" w:rsidR="004826C0" w:rsidRPr="004826C0" w:rsidRDefault="004826C0" w:rsidP="00FE264F">
      <w:pPr>
        <w:pStyle w:val="PlainText"/>
        <w:rPr>
          <w:rFonts w:ascii="Courier New" w:hAnsi="Courier New" w:cs="Courier New"/>
        </w:rPr>
      </w:pPr>
      <w:bookmarkStart w:id="0" w:name="_GoBack"/>
      <w:bookmarkEnd w:id="0"/>
      <w:r w:rsidRPr="004826C0">
        <w:rPr>
          <w:rFonts w:ascii="Courier New" w:hAnsi="Courier New" w:cs="Courier New"/>
        </w:rPr>
        <w:t>Saṃyutta Nikāya, saḷāyatanavaggo n n, 8. gāmaṇisaṃyuttaṃ, 3. yodhājīvasuttaṃ n (SN 42.3)</w:t>
      </w:r>
    </w:p>
    <w:p w14:paraId="68C06027" w14:textId="77777777" w:rsidR="004826C0" w:rsidRPr="004826C0" w:rsidRDefault="004826C0" w:rsidP="00FE264F">
      <w:pPr>
        <w:pStyle w:val="PlainText"/>
        <w:rPr>
          <w:rFonts w:ascii="Courier New" w:hAnsi="Courier New" w:cs="Courier New"/>
        </w:rPr>
      </w:pPr>
    </w:p>
    <w:p w14:paraId="3735A796" w14:textId="77777777" w:rsidR="004826C0" w:rsidRPr="004826C0" w:rsidRDefault="004826C0" w:rsidP="00FE264F">
      <w:pPr>
        <w:pStyle w:val="PlainText"/>
        <w:rPr>
          <w:rFonts w:ascii="Courier New" w:hAnsi="Courier New" w:cs="Courier New"/>
        </w:rPr>
      </w:pPr>
      <w:r w:rsidRPr="004826C0">
        <w:rPr>
          <w:rFonts w:ascii="Courier New" w:hAnsi="Courier New" w:cs="Courier New"/>
        </w:rPr>
        <w:t>♦ 355. atha kho yodhājīvo gāmaṇi yena bhagavā tenupasaṅkami; upasaṅkamitvā ... pe ... ekamantaṃ nisinno kho yodhājīvo gāmaṇi bhagavantaṃ etadavoca — “sutaṃ metaṃ, bhante, pubbakānaṃ ācariyapācariyānaṃ yodhājīvānaṃ bhāsamānānaṃ — ‘yo so yodhājīvo saṅgāme ussahati vāyamati, tamenaṃ M.2.496 ussahantaṃ vāyamantaṃ pare hananti pariyāpādenti, so kāyassa bhedā paraṃ maraṇā parajitānaṃ devānaṃ sahabyataṃ upapajjatī’ti. idha bhagavā kimāhā”ti? “alaṃ V.2.297, gāmaṇi, tiṭṭhatetaṃ; mā maṃ etaṃ pucchī”ti. dutiyampi kho ... pe ... tatiyampi kho yodhājīvo gāmaṇi bhagavantaṃ etadavoca — “sutaṃ metaṃ, bhante, pubbakānaṃ ācariyapācariyānaṃ yodhājīvānaṃ bhāsamānānaṃ — ‘yo so yodhājīvo saṅgāme T.4.381 ussahati vāyamati, tamenaṃ ussahantaṃ vāyamantaṃ pare hananti pariyāpādenti, so kāyassa bhedā paraṃ maraṇā parajitānaṃ devānaṃ sahabyataṃ upapajjatī’ti. idha bhagavā kimāhā”ti?</w:t>
      </w:r>
    </w:p>
    <w:p w14:paraId="206B0328" w14:textId="77777777" w:rsidR="004826C0" w:rsidRPr="004826C0" w:rsidRDefault="004826C0" w:rsidP="00FE264F">
      <w:pPr>
        <w:pStyle w:val="PlainText"/>
        <w:rPr>
          <w:rFonts w:ascii="Courier New" w:hAnsi="Courier New" w:cs="Courier New"/>
        </w:rPr>
      </w:pPr>
    </w:p>
    <w:p w14:paraId="4464CAF5" w14:textId="77777777" w:rsidR="004826C0" w:rsidRPr="004826C0" w:rsidRDefault="004826C0" w:rsidP="00FE264F">
      <w:pPr>
        <w:pStyle w:val="PlainText"/>
        <w:rPr>
          <w:rFonts w:ascii="Courier New" w:hAnsi="Courier New" w:cs="Courier New"/>
        </w:rPr>
      </w:pPr>
      <w:r w:rsidRPr="004826C0">
        <w:rPr>
          <w:rFonts w:ascii="Courier New" w:hAnsi="Courier New" w:cs="Courier New"/>
        </w:rPr>
        <w:t>♦ “addhā P.4.309 kho tyāhaṃ, gāmaṇi, na labhāmi — ‘alaṃ, gāmaṇi, tiṭṭhatetaṃ; mā maṃ etaṃ pucchī’ti. api ca tyāhaṃ byākarissāmi. yo so, gāmaṇi, yodhājīvo saṅgāme ussahati vāyamati, tassa taṃ cittaṃ pubbe gahitaṃ {hīnaṃ (sī. pī.)} dukkaṭaṃ duppaṇihitaṃ — ‘ime sattā haññantu vā bajjhantu vā ucchijjantu vā vinassantu vā mā vā ahesuṃ iti vā’ti. tamenaṃ ussahantaṃ vāyamantaṃ pare hananti pariyāpādenti; so kāyassa bhedā paraṃ maraṇā parajito nāma nirayo tattha upapajjatīti. sace kho panassa evaṃ diṭṭhi hoti — ‘yo so yodhājīvo saṅgāme ussahati vāyamati tamenaṃ ussahantaṃ vāyamantaṃ pare hananti pariyāpādenti, so kāyassa bhedā paraṃ maraṇā parajitānaṃ devānaṃ sahabyataṃ upapajjatī’ti, sāssa hoti micchādiṭṭhi. micchādiṭṭhikassa kho panāhaṃ, gāmaṇi, purisapuggalassa dvinnaṃ gatīnaṃ aññataraṃ gatiṃ vadāmi — nirayaṃ vā tiracchānayoniṃ vā”ti.</w:t>
      </w:r>
    </w:p>
    <w:p w14:paraId="69CAE009" w14:textId="77777777" w:rsidR="004826C0" w:rsidRPr="004826C0" w:rsidRDefault="004826C0" w:rsidP="00FE264F">
      <w:pPr>
        <w:pStyle w:val="PlainText"/>
        <w:rPr>
          <w:rFonts w:ascii="Courier New" w:hAnsi="Courier New" w:cs="Courier New"/>
        </w:rPr>
      </w:pPr>
    </w:p>
    <w:p w14:paraId="27019A9A" w14:textId="77777777" w:rsidR="004826C0" w:rsidRPr="004826C0" w:rsidRDefault="004826C0" w:rsidP="00FE264F">
      <w:pPr>
        <w:pStyle w:val="PlainText"/>
        <w:rPr>
          <w:rFonts w:ascii="Courier New" w:hAnsi="Courier New" w:cs="Courier New"/>
        </w:rPr>
      </w:pPr>
      <w:r w:rsidRPr="004826C0">
        <w:rPr>
          <w:rFonts w:ascii="Courier New" w:hAnsi="Courier New" w:cs="Courier New"/>
        </w:rPr>
        <w:t>♦ evaṃ vutte, yodhājīvo gāmaṇi parodi, assūni pavattesi. “etaṃ kho tyāhaṃ, gāmaṇi, nālatthaṃ — ‘alaṃ, gāmaṇi, tiṭṭhatetaṃ; mā maṃ etaṃ pucchī’”ti. “nāhaṃ, bhante, etaṃ rodāmi yaṃ maṃ bhagavā evamāha T.4.382; apicāhaṃ, bhante, pubbakehi ācariyapācariyehi yodhājīvehi dīgharattaṃ nikato vañcito paluddho — ‘yo so yodhājīvo saṅgāme ussahati vāyamati, tamenaṃ ussahantaṃ vāyamantaṃ pare hananti pariyāpādenti, so kāyassa bhedā paraṃ maraṇā parajitānaṃ devānaṃ sahabyataṃ upapajjatī’”ti. “abhikkantaṃ, bhante ... pe ... ajjatagge pāṇupetaṃ saraṇaṃ gatan”ti. tatiyaṃ.</w:t>
      </w:r>
    </w:p>
    <w:p w14:paraId="0394DDEA" w14:textId="77777777" w:rsidR="004826C0" w:rsidRPr="004826C0" w:rsidRDefault="004826C0" w:rsidP="00FE264F">
      <w:pPr>
        <w:pStyle w:val="PlainText"/>
        <w:rPr>
          <w:rFonts w:ascii="Courier New" w:hAnsi="Courier New" w:cs="Courier New"/>
        </w:rPr>
      </w:pPr>
      <w:r w:rsidRPr="004826C0">
        <w:rPr>
          <w:rFonts w:ascii="MS Mincho" w:eastAsia="MS Mincho" w:hAnsi="MS Mincho" w:cs="MS Mincho"/>
        </w:rPr>
        <w:t>∴</w:t>
      </w:r>
    </w:p>
    <w:p w14:paraId="011216EE" w14:textId="77777777" w:rsidR="004826C0" w:rsidRPr="004826C0" w:rsidRDefault="004826C0" w:rsidP="00FE264F">
      <w:pPr>
        <w:pStyle w:val="PlainText"/>
        <w:rPr>
          <w:rFonts w:ascii="Courier New" w:hAnsi="Courier New" w:cs="Courier New"/>
        </w:rPr>
      </w:pPr>
    </w:p>
    <w:sectPr w:rsidR="004826C0" w:rsidRPr="004826C0" w:rsidSect="00FE264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4826C0"/>
    <w:rsid w:val="00590BD6"/>
    <w:rsid w:val="00AF546A"/>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CD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264F"/>
    <w:rPr>
      <w:rFonts w:ascii="Courier" w:hAnsi="Courier"/>
      <w:sz w:val="21"/>
      <w:szCs w:val="21"/>
    </w:rPr>
  </w:style>
  <w:style w:type="character" w:customStyle="1" w:styleId="PlainTextChar">
    <w:name w:val="Plain Text Char"/>
    <w:basedOn w:val="DefaultParagraphFont"/>
    <w:link w:val="PlainText"/>
    <w:uiPriority w:val="99"/>
    <w:rsid w:val="00FE264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Macintosh Word</Application>
  <DocSecurity>0</DocSecurity>
  <Lines>16</Lines>
  <Paragraphs>4</Paragraphs>
  <ScaleCrop>false</ScaleCrop>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2017-12-01T15:37:00Z</dcterms:created>
  <dcterms:modified xsi:type="dcterms:W3CDTF">2017-12-01T15:37:00Z</dcterms:modified>
</cp:coreProperties>
</file>