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СИНОПСИС ПРОТОКОЛА</w:t>
      </w:r>
    </w:p>
    <w:p>
      <w:pPr>
        <w:pStyle w:val="Heading1"/>
      </w:pPr>
      <w:r>
        <w:t>Исследование биоэквивалентности</w:t>
      </w:r>
    </w:p>
    <w:p>
      <w:r>
        <w:t>Препарат: paracetamol</w:t>
      </w:r>
    </w:p>
    <w:p>
      <w:r>
        <w:t>Форма выпуска: tablet</w:t>
      </w:r>
    </w:p>
    <w:p>
      <w:r>
        <w:t>Дозировка: 50mg</w:t>
      </w:r>
    </w:p>
    <w:p>
      <w:r>
        <w:t>Способ введения: fasted</w:t>
      </w:r>
    </w:p>
    <w:p>
      <w:r>
        <w:t>Дата генерации: 19.02.2026 01:01</w:t>
      </w:r>
    </w:p>
    <w:p/>
    <w:p>
      <w:pPr>
        <w:pStyle w:val="Heading1"/>
      </w:pPr>
      <w:r>
        <w:t>1. ЦЕЛЬ ИССЛЕДОВАНИЯ</w:t>
      </w:r>
    </w:p>
    <w:p>
      <w:r>
        <w:t>Основная цель: Оценка биоэквивалентности исследуемого препарата paracetamol 50mg (tablet) и референтного препарата при однократном пероральном приеме натощак у здоровых добровольцев.</w:t>
      </w:r>
    </w:p>
    <w:p>
      <w:r>
        <w:t>Вторичные цели:</w:t>
      </w:r>
    </w:p>
    <w:p>
      <w:pPr>
        <w:pStyle w:val="ListBullet"/>
      </w:pPr>
      <w:r>
        <w:t>Оценка безопасности и переносимости исследуемого и референтного препаратов</w:t>
      </w:r>
    </w:p>
    <w:p>
      <w:pPr>
        <w:pStyle w:val="ListBullet"/>
      </w:pPr>
      <w:r>
        <w:t>Оценка фармакокинетических параметров обоих препаратов</w:t>
      </w:r>
    </w:p>
    <w:p/>
    <w:p>
      <w:pPr>
        <w:pStyle w:val="Heading1"/>
      </w:pPr>
      <w:r>
        <w:t>2. ДИЗАЙН ИССЛЕДОВАНИЯ</w:t>
      </w:r>
    </w:p>
    <w:p>
      <w:r>
        <w:t>Тип дизайна: 2×2 Cross-over</w:t>
      </w:r>
    </w:p>
    <w:p>
      <w:r>
        <w:t>Тип исследования: Открытое, рандомизированное, сбалансированное, перекрестное исследование</w:t>
      </w:r>
    </w:p>
    <w:p>
      <w:r>
        <w:t>Количество периодов: 2</w:t>
      </w:r>
    </w:p>
    <w:p>
      <w:r>
        <w:t>Washout период: 7 дней</w:t>
      </w:r>
    </w:p>
    <w:p>
      <w:r>
        <w:t>Обоснование: CV=18% → 2×2 Cross-over is optimal</w:t>
      </w:r>
    </w:p>
    <w:p/>
    <w:p>
      <w:pPr>
        <w:pStyle w:val="Heading1"/>
      </w:pPr>
      <w:r>
        <w:t>3. ИССЛЕДУЕМАЯ ПОПУЛЯЦИЯ</w:t>
      </w:r>
    </w:p>
    <w:p>
      <w:r>
        <w:t>Тип: Здоровые добровольцы</w:t>
      </w:r>
    </w:p>
    <w:p>
      <w:r>
        <w:t>Возраст: 18-45 лет</w:t>
      </w:r>
    </w:p>
    <w:p>
      <w:r>
        <w:t>Пол: Мужчины и женщины</w:t>
      </w:r>
    </w:p>
    <w:p>
      <w:r>
        <w:t>Общее количество субъектов: 14</w:t>
      </w:r>
    </w:p>
    <w:p/>
    <w:p>
      <w:pPr>
        <w:pStyle w:val="Heading1"/>
      </w:pPr>
      <w:r>
        <w:t>4. КРИТЕРИИ ВКЛЮЧЕНИЯ</w:t>
      </w:r>
    </w:p>
    <w:p>
      <w:pPr>
        <w:pStyle w:val="ListBullet"/>
      </w:pPr>
      <w:r>
        <w:t>Мужчины и женщины в возрасте от 18 до 45 лет включительно</w:t>
      </w:r>
    </w:p>
    <w:p>
      <w:pPr>
        <w:pStyle w:val="ListBullet"/>
      </w:pPr>
      <w:r>
        <w:t>Индекс массы тела (ИМТ) от 18.5 до 30.0 кг/м²</w:t>
      </w:r>
    </w:p>
    <w:p>
      <w:pPr>
        <w:pStyle w:val="ListBullet"/>
      </w:pPr>
      <w:r>
        <w:t>Отсутствие клинически значимых отклонений при медицинском осмотре</w:t>
      </w:r>
    </w:p>
    <w:p>
      <w:pPr>
        <w:pStyle w:val="ListBullet"/>
      </w:pPr>
      <w:r>
        <w:t>Отсутствие клинически значимых отклонений в лабораторных показателях</w:t>
      </w:r>
    </w:p>
    <w:p>
      <w:pPr>
        <w:pStyle w:val="ListBullet"/>
      </w:pPr>
      <w:r>
        <w:t>Отсутствие аллергических реакций на компоненты препарата</w:t>
      </w:r>
    </w:p>
    <w:p>
      <w:pPr>
        <w:pStyle w:val="ListBullet"/>
      </w:pPr>
      <w:r>
        <w:t>Согласие на использование эффективных методов контрацепции</w:t>
      </w:r>
    </w:p>
    <w:p>
      <w:pPr>
        <w:pStyle w:val="ListBullet"/>
      </w:pPr>
      <w:r>
        <w:t>Добровольное информированное согласие на участие в исследовании</w:t>
      </w:r>
    </w:p>
    <w:p/>
    <w:p>
      <w:pPr>
        <w:pStyle w:val="Heading1"/>
      </w:pPr>
      <w:r>
        <w:t>5. КРИТЕРИИ ИСКЛЮЧЕНИЯ</w:t>
      </w:r>
    </w:p>
    <w:p>
      <w:pPr>
        <w:pStyle w:val="ListBullet"/>
      </w:pPr>
      <w:r>
        <w:t>Наличие острых или хронических заболеваний</w:t>
      </w:r>
    </w:p>
    <w:p>
      <w:pPr>
        <w:pStyle w:val="ListBullet"/>
      </w:pPr>
      <w:r>
        <w:t>Прием лекарственных препаратов в течение 14 дней до начала исследования</w:t>
      </w:r>
    </w:p>
    <w:p>
      <w:pPr>
        <w:pStyle w:val="ListBullet"/>
      </w:pPr>
      <w:r>
        <w:t>Курение или употребление алкоголя в течение 48 часов до приема препарата</w:t>
      </w:r>
    </w:p>
    <w:p>
      <w:pPr>
        <w:pStyle w:val="ListBullet"/>
      </w:pPr>
      <w:r>
        <w:t>Положительный тест на наркотические вещества, алкоголь</w:t>
      </w:r>
    </w:p>
    <w:p>
      <w:pPr>
        <w:pStyle w:val="ListBullet"/>
      </w:pPr>
      <w:r>
        <w:t>Беременность или кормление грудью</w:t>
      </w:r>
    </w:p>
    <w:p>
      <w:pPr>
        <w:pStyle w:val="ListBullet"/>
      </w:pPr>
      <w:r>
        <w:t>Участие в клинических исследованиях в течение 3 месяцев до начала исследования</w:t>
      </w:r>
    </w:p>
    <w:p>
      <w:pPr>
        <w:pStyle w:val="ListBullet"/>
      </w:pPr>
      <w:r>
        <w:t>Донорство крови в течение 30 дней до начала исследования</w:t>
      </w:r>
    </w:p>
    <w:p/>
    <w:p>
      <w:pPr>
        <w:pStyle w:val="Heading1"/>
      </w:pPr>
      <w:r>
        <w:t>6. СХЕМА ЗАБОРА ПРОБ ДЛЯ ФАРМАКОКИНЕТИКИ</w:t>
      </w:r>
    </w:p>
    <w:p>
      <w:r>
        <w:t>Точки забора проб:</w:t>
      </w:r>
    </w:p>
    <w:p>
      <w:pPr>
        <w:pStyle w:val="ListBullet"/>
      </w:pPr>
      <w:r>
        <w:t>До приема препарата (0 ч)</w:t>
      </w:r>
    </w:p>
    <w:p>
      <w:pPr>
        <w:pStyle w:val="ListBullet"/>
      </w:pPr>
      <w:r>
        <w:t>0.25, 0.5, 0.75, 1, 1.5, 2, 2.5, 3, 4, 6, 8, 12, 16, 24 часа после приема</w:t>
      </w:r>
    </w:p>
    <w:p>
      <w:pPr>
        <w:pStyle w:val="ListBullet"/>
      </w:pPr>
      <w:r>
        <w:t>Дополнительные точки при необходимости (на основе T1/2)</w:t>
      </w:r>
    </w:p>
    <w:p>
      <w:r>
        <w:t>Общее количество образцов: 15-18 образцов на период</w:t>
      </w:r>
    </w:p>
    <w:p>
      <w:r>
        <w:t>Объем пробы: 4-5 мл венозной крови</w:t>
      </w:r>
    </w:p>
    <w:p/>
    <w:p>
      <w:pPr>
        <w:pStyle w:val="Heading1"/>
      </w:pPr>
      <w:r>
        <w:t>7. КРИТЕРИИ ОЦЕНКИ (ENDPOINTS)</w:t>
      </w:r>
    </w:p>
    <w:p>
      <w:r>
        <w:t>Основные критерии:</w:t>
      </w:r>
    </w:p>
    <w:p>
      <w:r>
        <w:t>Cmax: Максимальная концентрация в плазме</w:t>
      </w:r>
    </w:p>
    <w:p>
      <w:pPr>
        <w:pStyle w:val="ListBullet2"/>
      </w:pPr>
      <w:r>
        <w:t>Критерий: 90% ДИ отношения геометрических средних должен находиться в пределах 80.00% - 125.00%</w:t>
      </w:r>
    </w:p>
    <w:p>
      <w:r>
        <w:t>AUC0-t: Площадь под кривой концентрация-время от 0 до последней измеряемой точки</w:t>
      </w:r>
    </w:p>
    <w:p>
      <w:pPr>
        <w:pStyle w:val="ListBullet2"/>
      </w:pPr>
      <w:r>
        <w:t>Критерий: 90% ДИ отношения геометрических средних должен находиться в пределах 80.00% - 125.00%</w:t>
      </w:r>
    </w:p>
    <w:p>
      <w:r>
        <w:t>AUC0-∞: Площадь под кривой концентрация-время от 0 до бесконечности</w:t>
      </w:r>
    </w:p>
    <w:p>
      <w:pPr>
        <w:pStyle w:val="ListBullet2"/>
      </w:pPr>
      <w:r>
        <w:t>Критерий: 90% ДИ отношения геометрических средних должен находиться в пределах 80.00% - 125.00%</w:t>
      </w:r>
    </w:p>
    <w:p>
      <w:r>
        <w:t>Вторичные критерии:</w:t>
      </w:r>
    </w:p>
    <w:p>
      <w:pPr>
        <w:pStyle w:val="ListBullet"/>
      </w:pPr>
      <w:r>
        <w:t>Tmax (время достижения Cmax)</w:t>
      </w:r>
    </w:p>
    <w:p>
      <w:pPr>
        <w:pStyle w:val="ListBullet"/>
      </w:pPr>
      <w:r>
        <w:t>T1/2 (период полувыведения)</w:t>
      </w:r>
    </w:p>
    <w:p>
      <w:pPr>
        <w:pStyle w:val="ListBullet"/>
      </w:pPr>
      <w:r>
        <w:t>Кеl (константа скорости элиминации)</w:t>
      </w:r>
    </w:p>
    <w:p>
      <w:pPr>
        <w:pStyle w:val="ListBullet"/>
      </w:pPr>
      <w:r>
        <w:t>Безопасность и переносимость</w:t>
      </w:r>
    </w:p>
    <w:p/>
    <w:p>
      <w:pPr>
        <w:pStyle w:val="Heading1"/>
      </w:pPr>
      <w:r>
        <w:t>8. БИОАНАЛИТИЧЕСКИЙ МЕТОД</w:t>
      </w:r>
    </w:p>
    <w:p>
      <w:r>
        <w:t>Метод: Валидированный метод жидкостной хроматографии с масс-спектрометрическим детектированием (LC-MS/MS)</w:t>
      </w:r>
    </w:p>
    <w:p>
      <w:r>
        <w:t>Валидация: Метод валидирован в соответствии с требованиями FDA/EMA</w:t>
      </w:r>
    </w:p>
    <w:p>
      <w:r>
        <w:t>Параметры валидации:</w:t>
      </w:r>
    </w:p>
    <w:p>
      <w:pPr>
        <w:pStyle w:val="ListBullet"/>
      </w:pPr>
      <w:r>
        <w:t>linearity: Диапазон линейности покрывает ожидаемые концентрации</w:t>
      </w:r>
    </w:p>
    <w:p>
      <w:pPr>
        <w:pStyle w:val="ListBullet"/>
      </w:pPr>
      <w:r>
        <w:t>precision: Внутрисерийная и межсерийная точность ≤15% (≤20% для LLOQ)</w:t>
      </w:r>
    </w:p>
    <w:p>
      <w:pPr>
        <w:pStyle w:val="ListBullet"/>
      </w:pPr>
      <w:r>
        <w:t>accuracy: Точность в пределах ±15% (±20% для LLOQ)</w:t>
      </w:r>
    </w:p>
    <w:p>
      <w:pPr>
        <w:pStyle w:val="ListBullet"/>
      </w:pPr>
      <w:r>
        <w:t>lloq: Нижний предел количественного определения определяется в ходе валидации</w:t>
      </w:r>
    </w:p>
    <w:p/>
    <w:p>
      <w:pPr>
        <w:pStyle w:val="Heading1"/>
      </w:pPr>
      <w:r>
        <w:t>9. БЕЗОПАСНОСТЬ</w:t>
      </w:r>
    </w:p>
    <w:p>
      <w:r>
        <w:t>Мониторинг безопасности:</w:t>
      </w:r>
    </w:p>
    <w:p>
      <w:pPr>
        <w:pStyle w:val="ListBullet"/>
      </w:pPr>
      <w:r>
        <w:t>Нежелательные явления (НЯ) регистрируются на протяжении всего исследования</w:t>
      </w:r>
    </w:p>
    <w:p>
      <w:pPr>
        <w:pStyle w:val="ListBullet"/>
      </w:pPr>
      <w:r>
        <w:t>Лабораторные показатели оцениваются до и после каждого периода</w:t>
      </w:r>
    </w:p>
    <w:p>
      <w:pPr>
        <w:pStyle w:val="ListBullet"/>
      </w:pPr>
      <w:r>
        <w:t>ЭКГ выполняется до и после каждого периода</w:t>
      </w:r>
    </w:p>
    <w:p>
      <w:pPr>
        <w:pStyle w:val="ListBullet"/>
      </w:pPr>
      <w:r>
        <w:t>Витальные показатели (АД, ЧСС, температура) измеряются в ключевые моменты</w:t>
      </w:r>
    </w:p>
    <w:p/>
    <w:p>
      <w:pPr>
        <w:pStyle w:val="Heading1"/>
      </w:pPr>
      <w:r>
        <w:t>10. СТАТИСТИЧЕСКАЯ МЕТОДОЛОГИЯ</w:t>
      </w:r>
    </w:p>
    <w:p>
      <w:r>
        <w:t>Популяция анализа: Population: все субъекты, получившие оба препарата</w:t>
      </w:r>
    </w:p>
    <w:p>
      <w:r>
        <w:t>Метод: Двусторонний 90% доверительный интервал для отношения геометрических средних (Test/Reference)</w:t>
      </w:r>
    </w:p>
    <w:p>
      <w:r>
        <w:t>Преобразование: Логарифмическое преобразование для Cmax, AUC0-t, AUC0-∞</w:t>
      </w:r>
    </w:p>
    <w:p>
      <w:r>
        <w:t>Модель: ANOVA с фиксированными эффектами: последовательность, период, лечение</w:t>
      </w:r>
    </w:p>
    <w:p>
      <w:r>
        <w:t>Мощность: Мощность исследования ≥80% при CVintra=18%</w:t>
      </w:r>
    </w:p>
    <w:p>
      <w:r>
        <w:t>Критерий биоэквивалентности: Биоэквивалентность считается доказанной, если 90% ДИ полностью находится в пределах 80.00% - 125.00%</w:t>
      </w:r>
    </w:p>
    <w:p/>
    <w:p>
      <w:pPr>
        <w:pStyle w:val="Heading1"/>
      </w:pPr>
      <w:r>
        <w:t>11. ФАРМАКОКИНЕТИЧЕСКИЕ ПАРАМЕТРЫ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Единица</w:t>
            </w:r>
          </w:p>
        </w:tc>
      </w:tr>
      <w:tr>
        <w:tc>
          <w:tcPr>
            <w:tcW w:type="dxa" w:w="2880"/>
          </w:tcPr>
          <w:p>
            <w:r>
              <w:t>Cmax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ng/mL</w:t>
            </w:r>
          </w:p>
        </w:tc>
      </w:tr>
      <w:tr>
        <w:tc>
          <w:tcPr>
            <w:tcW w:type="dxa" w:w="2880"/>
          </w:tcPr>
          <w:p>
            <w:r>
              <w:t>AUC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ng·h/mL</w:t>
            </w:r>
          </w:p>
        </w:tc>
      </w:tr>
      <w:tr>
        <w:tc>
          <w:tcPr>
            <w:tcW w:type="dxa" w:w="2880"/>
          </w:tcPr>
          <w:p>
            <w:r>
              <w:t>Tmax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h</w:t>
            </w:r>
          </w:p>
        </w:tc>
      </w:tr>
      <w:tr>
        <w:tc>
          <w:tcPr>
            <w:tcW w:type="dxa" w:w="2880"/>
          </w:tcPr>
          <w:p>
            <w:r>
              <w:t>T½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h</w:t>
            </w:r>
          </w:p>
        </w:tc>
      </w:tr>
    </w:tbl>
    <w:p/>
    <w:p>
      <w:pPr>
        <w:pStyle w:val="Heading1"/>
      </w:pPr>
      <w:r>
        <w:t>12. РАЗМЕР ВЫБОРКИ</w:t>
      </w:r>
    </w:p>
    <w:p>
      <w:r>
        <w:t>CVintra: 18%</w:t>
      </w:r>
    </w:p>
    <w:p>
      <w:r>
        <w:t>Базовый размер: 11</w:t>
      </w:r>
    </w:p>
    <w:p>
      <w:r>
        <w:t>Итоговый размер: 14</w:t>
      </w:r>
    </w:p>
    <w:p>
      <w:r>
        <w:t>Расчет:</w:t>
      </w:r>
    </w:p>
    <w:p>
      <w:pPr>
        <w:pStyle w:val="ListNumber"/>
      </w:pPr>
      <w:r>
        <w:t>1. σ² = ln(CV² + 1) = ln(0.18² + 1) = 0.0319</w:t>
      </w:r>
    </w:p>
    <w:p>
      <w:pPr>
        <w:pStyle w:val="ListNumber"/>
      </w:pPr>
      <w:r>
        <w:t>2. ln(θ₁) = ln(0.8) = -0.2231</w:t>
      </w:r>
    </w:p>
    <w:p>
      <w:pPr>
        <w:pStyle w:val="ListNumber"/>
      </w:pPr>
      <w:r>
        <w:t>3. N_base = 2 × (1.96 + 0.842)² × 0.0319 / -0.2231² = 11</w:t>
      </w:r>
    </w:p>
    <w:p>
      <w:pPr>
        <w:pStyle w:val="ListNumber"/>
      </w:pPr>
      <w:r>
        <w:t>4. N_adjusted = 11 / (1 - 0.2) = 13.8</w:t>
      </w:r>
    </w:p>
    <w:p>
      <w:pPr>
        <w:pStyle w:val="ListNumber"/>
      </w:pPr>
      <w:r>
        <w:t>5. N_final (округлено до четного) = 14</w:t>
      </w:r>
    </w:p>
    <w:p/>
    <w:p>
      <w:pPr>
        <w:pStyle w:val="Heading1"/>
      </w:pPr>
      <w:r>
        <w:t>13. РЕГУЛЯТОРНОЕ СООТВЕТСТВИЕ</w:t>
      </w:r>
    </w:p>
    <w:p>
      <w:r>
        <w:t>DECISION_85: ✓ Соответствует</w:t>
      </w:r>
    </w:p>
    <w:p>
      <w:pPr>
        <w:pStyle w:val="ListBullet2"/>
      </w:pPr>
      <w:r>
        <w:t>По Решению № 85 РФ препарат должен соответствовать стандартам BE</w:t>
      </w:r>
    </w:p>
    <w:p>
      <w:r>
        <w:t>EMA: ✓ Соответствует</w:t>
      </w:r>
    </w:p>
    <w:p>
      <w:pPr>
        <w:pStyle w:val="ListBullet2"/>
      </w:pPr>
      <w:r>
        <w:t>По EMA guidelines дизайн должен быть одобренным</w:t>
      </w:r>
    </w:p>
    <w:p>
      <w:r>
        <w:t>FDA: ✓ Соответствует</w:t>
      </w:r>
    </w:p>
    <w:p>
      <w:pPr>
        <w:pStyle w:val="ListBullet2"/>
      </w:pPr>
      <w:r>
        <w:t>По FDA guidance требуется подтверждение биоэквивалентности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