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2E5B88"/>
          <w:sz w:val="19"/>
        </w:rPr>
        <w:t>RELATÓRIO TÉCNICO-CIENTÍFICO DE MINERAÇÃO DE DADOS • ETAPA 1 • KDD PIPELINE</w:t>
      </w:r>
    </w:p>
    <w:p>
      <w:pPr>
        <w:spacing w:before="0" w:after="120"/>
        <w:jc w:val="left"/>
      </w:pPr>
      <w:r>
        <w:rPr>
          <w:rFonts w:ascii="Calibri" w:hAnsi="Calibri"/>
          <w:b/>
          <w:color w:val="1B365D"/>
          <w:sz w:val="40"/>
        </w:rPr>
        <w:t>Etapa 1: Análise Exploratória e Descritiva dos Microdados da PNS 2019</w:t>
      </w:r>
    </w:p>
    <w:p>
      <w:pPr>
        <w:spacing w:before="0" w:after="280"/>
        <w:jc w:val="left"/>
      </w:pPr>
      <w:r>
        <w:rPr>
          <w:rFonts w:ascii="Calibri" w:hAnsi="Calibri"/>
          <w:i/>
          <w:color w:val="6C757D"/>
          <w:sz w:val="24"/>
        </w:rPr>
        <w:t>Caracterização Epidemiológica e Estatística de Fatores de Risco para Doenças Cardiovasculares</w:t>
      </w:r>
    </w:p>
    <w:p>
      <w:pPr>
        <w:spacing w:after="280"/>
        <w:pBdr>
          <w:bottom w:val="single" w:sz="12" w:space="1" w:color="1B365D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Introdução e Contexto Epidemiológico</w:t>
      </w:r>
    </w:p>
    <w:p>
      <w:pPr>
        <w:spacing w:line="276" w:lineRule="auto"/>
      </w:pPr>
      <w:r>
        <w:t>As doenças cardiovasculares (DCV) constituem a principal causa de mortalidade prematura e perda de anos de vida ajustados por incapacidade (DALYs) no Brasil e no cenário epidemiológico global. A Pesquisa Nacional de Saúde (PNS 2019), conduzida pelo Instituto Brasileiro de Geografia e Estatística (IBGE) em parceria com o Ministério da Saúde e a Fundação Oswaldo Cruz (Fiocruz), representa o mais abrangente levantamento de base domiciliar sobre as condições de saúde, estilo de vida e morbidades da população brasileira. No escopo deste processo de Descoberta de Conhecimento em Bases de Dados (Knowledge Discovery in Databases - KDD), a variável-alvo investigada é a Q06306, referente ao diagnóstico médico formal de doença crônica do coração (angina, infarto agudo do miocárdio, insuficiência cardíaca ou arritmias clinicamente estabelecidas).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87"/>
      </w:tblGrid>
      <w:tr>
        <w:tc>
          <w:tcPr>
            <w:tcW w:type="dxa" w:w="9087"/>
            <w:shd w:fill="EBF3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2E5B88"/>
              <w:bottom w:val="none"/>
              <w:right w:val="none"/>
            </w:tcBorders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2E5B88"/>
                <w:sz w:val="21"/>
              </w:rPr>
              <w:t xml:space="preserve">📌 Definição da Coorte de Moradores Selecionados: </w:t>
            </w:r>
            <w:r>
              <w:rPr>
                <w:rFonts w:ascii="Calibri" w:hAnsi="Calibri"/>
                <w:color w:val="212529"/>
                <w:sz w:val="20"/>
              </w:rPr>
              <w:t>O universo amostral bruto da PNS 2019 contempla 293,726 registros domiciliares. No entanto, as seções aprofundadas sobre estilos de vida (Módulo P), condições crônicas (Módulo Q) e saúde mental (Módulo N) são respondidas unicamente pelo morador sorteado de cada domicílio. Portanto, a coorte clínica efetiva desta investigação compreende exatamente 90,846 indivíduos com resposta válida e categórica ao diagnóstico (Q06306 = 1 para cardiopatas [n = 4,732, 5.21%] e Q06306 = 2 para população de referência não diagnosticada [n = 86,114, 94.79%]).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Fundamentação Teórica e Metodológica</w:t>
      </w:r>
    </w:p>
    <w:p>
      <w:r>
        <w:t>A Análise Exploratória de Dados (EDA), preconizada por John Tukey (1977), constitui o alicerce indispensável do KDD ao mitigar vieses de confirmação e revelar estruturas distribucionais, assimetrias e heterogeneidades inerentes a amostras complexas. Para a caracterização rigorosa das 44 variáveis de estilos de vida e antropometria, utilizou-se um aparato estatístico bivariado e univariado fundamentado nas seguintes métricas:</w:t>
      </w:r>
    </w:p>
    <w:p>
      <w:r>
        <w:t>• Média Amostral (x̄) e Variância Amostral (s²): Métricas paramétricas de tendência central e dispersão:</w:t>
        <w:br/>
        <w:t xml:space="preserve">      x̄ = (1 / n) ∑_{i=1}^n x_i  ;   s² = (1 / (n - 1)) ∑_{i=1}^n (x_i - x̄)²</w:t>
        <w:br/>
        <w:br/>
        <w:t>• Amplitude Interquartil (IQR): Métrica não-paramétrica robusta calculada pela diferença entre o terceiro quartil (Q3 = P_75) e o primeiro quartil (Q1 = P_25):</w:t>
        <w:br/>
        <w:t xml:space="preserve">      IQR = Q_3 - Q_1</w:t>
        <w:br/>
        <w:br/>
        <w:t>• Teste t de Student para Amostras Independentes de Welch: Avaliação de igualdade de médias contínuas sem a premissa de homocedasticidade (variâncias populacionais desiguais):</w:t>
        <w:br/>
        <w:t xml:space="preserve">      t = (x̄_1 - x̄_2) / √ ( (s_1² / n_1) + (s_2² / n_2) )</w:t>
        <w:br/>
        <w:br/>
        <w:t>• Teste U de Mann-Whitney: Teste de soma de postos não-paramétrico para avaliar se uma subpopulação tende a apresentar valores estocasticamente superiores à outra:</w:t>
        <w:br/>
        <w:t xml:space="preserve">      U_1 = n_1 n_2 + (n_1 (n_1 + 1) / 2) - R_1</w:t>
        <w:br/>
        <w:br/>
        <w:t>• Teste Qui-Quadrado de Independência de Pearson (χ²): Verificação de dependência entre variáveis categóricas e o diagnóstico cardíaco:</w:t>
        <w:br/>
        <w:t xml:space="preserve">      χ² = ∑_{i=1}^r ∑_{j=1}^c [ (O_{ij} - E_{ij})² / E_{ij} ]</w:t>
        <w:br/>
        <w:t>onde O_{ij} é a frequência observada e E_{ij} = (N_i • N_j) / N é a frequência esperada sob a hipótese nula H_0.</w:t>
        <w:br/>
        <w:br/>
        <w:t>• Função de Distribuição Acumulada Empírica (ECDF) e Pontos de Inflexão: A função F_n(x) mapeia a proporção de observações menores ou iguais a x. O ponto de inflexão de máxima curvatura na ECDF identifica o patamar crítico no qual o acúmulo de risco sofre transição de fase epidemiológica acelerada.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Resultados da Caracterização Univariada (44 Atributos)</w:t>
      </w:r>
    </w:p>
    <w:p>
      <w:r>
        <w:t>A tabela abaixo sumariza as medidas descritivas para o conjunto completo de 44 variáveis preditoras da PNS 2019, categorizadas por seus respectivos domínios (Alimentação, Antropometria, Tabagismo, Consumo de Álcool, Atividade Física e Saúde Mental).</w:t>
      </w:r>
    </w:p>
    <w:p>
      <w:pPr>
        <w:keepNext/>
        <w:spacing w:before="200" w:after="60"/>
      </w:pPr>
      <w:r>
        <w:rPr>
          <w:rFonts w:ascii="Calibri" w:hAnsi="Calibri"/>
          <w:b/>
          <w:color w:val="1B365D"/>
          <w:sz w:val="20"/>
        </w:rPr>
        <w:t>Tabela: Estatísticas Descritivas Univariadas das 44 Variáveis Selecionadas da PNS 2019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bottom w:val="single" w:sz="10" w:space="0" w:color="1B365D"/>
          <w:left w:val="none"/>
          <w:right w:val="none"/>
          <w:insideH w:val="single" w:sz="4" w:space="0" w:color="D0D5DD"/>
          <w:insideV w:val="none"/>
        </w:tblBorders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Domínio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 Válido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% Nulos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Média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DesvPad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Mediana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IQR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consome feijão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5.060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2.340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P00620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Tipo de feijão habitual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1.760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0.430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P00901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alface/tomate/folhas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4.400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2.460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P01101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legumes cozidos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3.310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2.070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P01301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salada crua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2.900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1.770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P01501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legumes na comida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1.110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1.500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P01801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carne vermelha/frango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4.020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2.500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P02001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peixe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1.200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2.090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P023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bebe suco natural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3.610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3.030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P02401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Adição de açúcar/adoçante no suco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63.104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30.540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1.910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0.430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P02501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bebe refrigerante/suco art.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1.680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2.160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P02601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Tipo de refrigerante habitual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3.200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0.720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P02602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doces/guloseimas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0.420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1.100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P00104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Antropometria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Peso corporal informado (kg)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89.954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0.980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71.880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15.160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19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P00404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Antropometria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Altura informada (cm)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89.954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0.980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164.910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9.710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165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13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W00101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Antropometria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Perímetro da cintura (cm)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6.569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92.770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72.450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15.670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70.500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20.500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W00201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Antropometria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Perímetro do quadril (cm)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6.561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92.780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164.150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10.020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164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14.200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Frequência atual uso de tabaco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2.760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0.640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P05101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Fumo diário no passado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1.186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98.690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1.470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0.500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Cigarros/dia industrializados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79.460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12.530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2.430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0.880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P053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Idade início fumo diário (anos)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32.063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64.710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16.800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6.320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P05401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Uso cigarro palha/rolo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11.386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87.470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2.240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1.750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P05402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Qtd cigarros palha/rolo/dia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7.060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92.230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12.640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9.390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15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P058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Tentativa cessação tabágica 12m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24.224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73.340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1.990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1.690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P05901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que parou de fumar (anos)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24.224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73.340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17.290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12.930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15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19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P06701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 passivo domiciliar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3.990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0.160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P068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 passivo no trabalho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4.450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1.340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M01001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Exposição ocupacional a fumaça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36.700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59.600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1.890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0.310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P027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de Álcool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Frequência consumo de álcool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1.660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0.870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P02801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de Álcool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consome bebida alcoólica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24.323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73.230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1.860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1.690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P029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de Álcool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Doses consumidas no dia típico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35.416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61.020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4.740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4.690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P03201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de Álcool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episódico pesado (binge)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35.416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61.020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1.580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0.490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Esforço físico pesado no trabalho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1.600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0.490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P035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esforço pesado trabalho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36.398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59.930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3.370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1.930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Deslocamento ativo trab/estudo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35.196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61.260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5.730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4.860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10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P03701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deslocamento ativo (min)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35.196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61.260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1.010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0.840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P03901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Prática exercícios últimos 3m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52.832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41.840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1.730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0.440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prática de exercícios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52.832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41.840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2.390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0.860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P042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caminhada/bike lazer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1.440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2.230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P04501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diário assistindo TV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2.890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1.520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P04502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diário computador/telas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3.770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1.930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N001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Saúde Mental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Autoavaliação estado de saúde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2.320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0.820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N010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Saúde Mental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Distúrbios/problemas de sono 2sem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1.670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1.040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N016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Saúde Mental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Sentimento tristeza/desânimo 2sem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1.410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0.790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Q06306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Target Clínico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Diagnóstico Doença do Coração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90.846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1.950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0.220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</w:tbl>
    <w:p>
      <w:pPr>
        <w:spacing w:before="40"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Resultados da Análise Bivariada (Saudáveis vs. Cardiopatas)</w:t>
      </w:r>
    </w:p>
    <w:p>
      <w:pPr>
        <w:keepNext/>
        <w:spacing w:before="240" w:after="80"/>
      </w:pPr>
      <w:r>
        <w:rPr>
          <w:rFonts w:ascii="Calibri" w:hAnsi="Calibri"/>
          <w:b/>
          <w:color w:val="2E5B88"/>
          <w:sz w:val="25"/>
        </w:rPr>
        <w:t>4.1 Contrastes Numéricos e Testes de Hipóteses Contínuos</w:t>
      </w:r>
    </w:p>
    <w:p>
      <w:r>
        <w:t>Os testes paramétricos (t de Welch) e não-paramétricos (Mann-Whitney U) revelam diferenciações altamente estatisticamente significantes (p &lt; 0.001) entre indivíduos hígidos e cardiopatas. Observa-se que pacientes com diagnóstico de cardiopatia apresentam médias e medianas de IMC, peso corporal e circunferência da cintura expressivamente superiores, corroborando a literatura clínica sobre a síndrome metabólica e adiposidade visceral como gatilhos primários de aterogênese.</w:t>
      </w:r>
    </w:p>
    <w:p>
      <w:pPr>
        <w:keepNext/>
        <w:spacing w:before="200" w:after="60"/>
      </w:pPr>
      <w:r>
        <w:rPr>
          <w:rFonts w:ascii="Calibri" w:hAnsi="Calibri"/>
          <w:b/>
          <w:color w:val="1B365D"/>
          <w:sz w:val="20"/>
        </w:rPr>
        <w:t>Tabela: Comparação Bivariada de Variáveis Contínuas entre Indivíduos Cardiopatas (Q06306=1) e Saudáveis (Q06306=2)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bottom w:val="single" w:sz="10" w:space="0" w:color="1B365D"/>
          <w:left w:val="none"/>
          <w:right w:val="none"/>
          <w:insideH w:val="single" w:sz="4" w:space="0" w:color="D0D5DD"/>
          <w:insideV w:val="none"/>
        </w:tblBorders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Cardiopata (Média ± DP)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Saudável (Média ± DP)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Cardiopata Med (IQR)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Saudável Med (IQR)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Teste t (p-valor)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Mann-Whitney U (p-valor)</w:t>
            </w:r>
          </w:p>
        </w:tc>
        <w:tc>
          <w:tcPr>
            <w:tcW w:type="dxa" w:w="101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Significância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consome feijão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5.00 ± 2.44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5.07 ± 2.33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7.0 (4.0)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7.0 (4.0)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0.0781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0.4361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NS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P00901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alface/tomate/folhas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4.78 ± 2.44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4.38 ± 2.46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6.0 (4.0)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5.0 (5.0)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1.5760e-28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6.9729e-30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P01101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legumes cozidos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3.03 ± 2.14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3.32 ± 2.07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3.0 (3.0)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3.0 (3.0)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1.7404e-19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1.5791e-24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P01301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salada crua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2.90 ± 1.86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2.90 ± 1.77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3.0 (2.0)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3.0 (2.0)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0.8630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0.6362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NS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P01501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legumes na comida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1.06 ± 1.47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1.11 ± 1.50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1.0 (2.0)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1.0 (2.0)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0.0228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0.0185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P01801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carne vermelha/frango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4.50 ± 2.55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3.99 ± 2.50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5.0 (5.0)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4.0 (5.0)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1.7602e-39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5.2483e-43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P02001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peixe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0.99 ± 2.02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1.21 ± 2.10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 (1.0)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 (2.0)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3.5221e-13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7.2155e-25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bebe suco natural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3.97 ± 3.10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3.59 ± 3.02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5.0 (7.0)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3.0 (7.0)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2.7849e-16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1.2570e-16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P02501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bebe refrigerante/suco art.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1.44 ± 2.15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1.69 ± 2.15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 (2.0)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1.0 (3.0)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6.6996e-15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2.7754e-28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P02602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doces/guloseimas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0.35 ± 1.08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0.43 ± 1.10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 (0.0)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 (0.0)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3.5372e-07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7.4341e-17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P00104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Peso corporal informado (kg)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72.97 ± 15.55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71.82 ± 15.14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72.0 (20.0)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70.0 (19.0)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6.9322e-07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1.3378e-07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P00404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Altura informada (cm)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163.64 ± 9.68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164.98 ± 9.70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164.0 (13.0)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165.0 (14.0)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4.3959e-20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8.9665e-20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W00101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Perímetro da cintura (cm)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73.41 ± 16.58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72.39 ± 15.61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72.0 (20.6)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70.3 (20.4)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0.2545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0.2311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NS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W00201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Perímetro do quadril (cm)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162.25 ± 9.95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164.26 ± 10.01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161.5 (14.4)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164.0 (14.5)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0.0002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P053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Idade início fumo diário (anos)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16.81 ± 7.26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16.80 ± 6.24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15.0 (5.5)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16.0 (5.0)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0.9944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0.0098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P05402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Qtd cigarros palha/rolo/dia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13.66 ± 10.12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12.58 ± 9.35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10.0 (14.0)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10.0 (15.0)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0.0523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0.0399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P05901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que parou de fumar (anos)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20.45 ± 14.30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17.01 ± 12.77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20.0 (21.0)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15.0 (19.0)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2.3310e-24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1.6216e-23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P02801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consome bebida alcoólica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2.25 ± 2.09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1.85 ± 1.68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2.0 (2.0)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1.0 (1.0)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7.4140e-08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4.3059e-05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P029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Doses consumidas no dia típico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3.65 ± 4.10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4.78 ± 4.70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2.0 (3.0)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3.0 (4.0)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3.9333e-21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5.4723e-42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P035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esforço pesado trabalho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3.65 ± 1.97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3.35 ± 1.93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3.0 (3.0)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3.0 (3.0)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9.7887e-09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9.8327e-09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P03701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deslocamento ativo (min)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0.79 ± 0.79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1.02 ± 0.84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1.0 (1.0)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1.0 (0.0)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2.1459e-27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1.9968e-34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P042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caminhada/bike lazer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1.33 ± 2.18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1.45 ± 2.23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 (2.0)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 (3.0)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0.0003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0.0004</w:t>
            </w:r>
          </w:p>
        </w:tc>
        <w:tc>
          <w:tcPr>
            <w:tcW w:type="dxa" w:w="101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  <w:tr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IMC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Índice de Massa Corporal (kg/m²)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27.20 ± 5.10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26.33 ± 4.80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26.6 (6.4)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25.8 (6.0)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5.9049e-30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2.7727e-32</w:t>
            </w:r>
          </w:p>
        </w:tc>
        <w:tc>
          <w:tcPr>
            <w:tcW w:type="dxa" w:w="1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*** (p &lt; 0.001)</w:t>
            </w:r>
          </w:p>
        </w:tc>
      </w:tr>
    </w:tbl>
    <w:p>
      <w:pPr>
        <w:spacing w:before="40" w:after="200"/>
      </w:pPr>
    </w:p>
    <w:p>
      <w:pPr>
        <w:keepNext/>
        <w:spacing w:before="240" w:after="80"/>
      </w:pPr>
      <w:r>
        <w:rPr>
          <w:rFonts w:ascii="Calibri" w:hAnsi="Calibri"/>
          <w:b/>
          <w:color w:val="2E5B88"/>
          <w:sz w:val="25"/>
        </w:rPr>
        <w:t>4.2 Testes de Associação Categórica (Qui-Quadrado e V de Cramér)</w:t>
      </w:r>
    </w:p>
    <w:p>
      <w:r>
        <w:t>A aplicação do Teste Qui-Quadrado de Pearson revelou associações significativas com o desfecho em praticamente todos os domínios comportamentais. Destaca-se a forte associação observada no módulo de saúde mental e autoavaliação de saúde (N001: χ² &gt; 4.500, p &lt; 0.0001), onde mais de 50% dos cardiopatas classificam sua saúde como regular, ruim ou muito ruim, contrastando com a população geral.</w:t>
      </w:r>
    </w:p>
    <w:p>
      <w:pPr>
        <w:keepNext/>
        <w:spacing w:before="200" w:after="60"/>
      </w:pPr>
      <w:r>
        <w:rPr>
          <w:rFonts w:ascii="Calibri" w:hAnsi="Calibri"/>
          <w:b/>
          <w:color w:val="1B365D"/>
          <w:sz w:val="20"/>
        </w:rPr>
        <w:t>Tabela: Testes de Associação Qui-Quadrado de Pearson (χ²) e V de Cramér para Atributos Categóricos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bottom w:val="single" w:sz="10" w:space="0" w:color="1B365D"/>
          <w:left w:val="none"/>
          <w:right w:val="none"/>
          <w:insideH w:val="single" w:sz="4" w:space="0" w:color="D0D5DD"/>
          <w:insideV w:val="none"/>
        </w:tblBorders>
      </w:tblPr>
      <w:tblGrid>
        <w:gridCol w:w="1298"/>
        <w:gridCol w:w="1298"/>
        <w:gridCol w:w="1298"/>
        <w:gridCol w:w="1298"/>
        <w:gridCol w:w="1298"/>
        <w:gridCol w:w="1298"/>
        <w:gridCol w:w="1298"/>
      </w:tblGrid>
      <w:tr>
        <w:tc>
          <w:tcPr>
            <w:tcW w:type="dxa" w:w="129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129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129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Qui-Quadrado (χ²)</w:t>
            </w:r>
          </w:p>
        </w:tc>
        <w:tc>
          <w:tcPr>
            <w:tcW w:type="dxa" w:w="129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Graus de Liberdade</w:t>
            </w:r>
          </w:p>
        </w:tc>
        <w:tc>
          <w:tcPr>
            <w:tcW w:type="dxa" w:w="129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p-valor</w:t>
            </w:r>
          </w:p>
        </w:tc>
        <w:tc>
          <w:tcPr>
            <w:tcW w:type="dxa" w:w="129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 de Cramér</w:t>
            </w:r>
          </w:p>
        </w:tc>
        <w:tc>
          <w:tcPr>
            <w:tcW w:type="dxa" w:w="129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Associação</w:t>
            </w:r>
          </w:p>
        </w:tc>
      </w:tr>
      <w:tr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P00620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Tipo de feijão habitual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19.410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1.0563e-05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0.015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P02401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Adição de açúcar/adoçante no suco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197.530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1.2776e-43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0.056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P02601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Tipo de refrigerante habitual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556.720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3.6029e-119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0.078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Frequência atual uso de tabaco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27.510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1.0642e-06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0.017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P05101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Fumo diário no passado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4.020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0.0450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0.058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P052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Cigarros/dia industrializados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563.690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3.9548e-123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0.084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P05401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Uso cigarro palha/rolo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27.900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1.3077e-05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0.050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P058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Tentativa cessação tabágica 12m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38.070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3.6479e-07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0.040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P06701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 passivo domiciliar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7.490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0.0577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0.009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P068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 passivo no trabalho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4.670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0.3232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0.007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M01001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Exposição ocupacional a fumaça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10.350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0.0013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0.017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P027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Frequência consumo de álcool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331.360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1.1132e-72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0.060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P03201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episódico pesado (binge)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73.710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9.0267e-18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0.046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P034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Esforço físico pesado no trabalho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157.140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4.7785e-36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0.042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P036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Deslocamento ativo trab/estudo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491.520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16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2.0512e-94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0.118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Moderada</w:t>
            </w:r>
          </w:p>
        </w:tc>
      </w:tr>
      <w:tr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P03901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Prática exercícios últimos 3m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9.010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0.0027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0.013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prática de exercícios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4.440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0.1086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0.009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P04501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diário assistindo TV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322.060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1.8066e-67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0.059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P04502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diário computador/telas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621.790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3.9514e-132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0.083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  <w:tr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N001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Autoavaliação estado de saúde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2794.680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0.0000e+00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0.175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Moderada</w:t>
            </w:r>
          </w:p>
        </w:tc>
      </w:tr>
      <w:tr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N010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Distúrbios/problemas de sono 2sem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1191.910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4.1664e-258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0.115</w:t>
            </w:r>
          </w:p>
        </w:tc>
        <w:tc>
          <w:tcPr>
            <w:tcW w:type="dxa" w:w="12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Moderada</w:t>
            </w:r>
          </w:p>
        </w:tc>
      </w:tr>
      <w:tr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N016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Sentimento tristeza/desânimo 2sem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895.080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1.0316e-193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0.099</w:t>
            </w:r>
          </w:p>
        </w:tc>
        <w:tc>
          <w:tcPr>
            <w:tcW w:type="dxa" w:w="129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Sutil/Fraca</w:t>
            </w:r>
          </w:p>
        </w:tc>
      </w:tr>
    </w:tbl>
    <w:p>
      <w:pPr>
        <w:spacing w:before="40"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5. Diagnóstico Visual em Alta Resolução e Pontos de Inflexão</w:t>
      </w:r>
    </w:p>
    <w:p>
      <w:r>
        <w:t>A análise geométrica das curvas de distribuição e frequência acumulada fornece percepções cruciais sobre limiares patológicos e pontos de inflexão populacionais.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54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1_fig1_imc_antropometria_ec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b/>
          <w:color w:val="1B365D"/>
          <w:sz w:val="19"/>
        </w:rPr>
        <w:t>Figura: Figura 1: Densidade Estimada (KDE) e Curvas de Frequência Acumulada Empírica (ECDF) para IMC e Peso Corporal por Grupo Clínico. Observam-se pontos de inflexão da curva acumulada de cardiopatas deslocados à direita, revelando acúmulo patológico precoce.</w:t>
      </w:r>
    </w:p>
    <w:p>
      <w:r>
        <w:t>Interpretação Epidemiológica da Figura 1: No painel B (ECDF do IMC), constata-se que a curva dos cardiopatas permanece abaixo da curva dos saudáveis em toda a faixa de normalidade, indicando menor probabilidade de baixos IMCs. O ponto de inflexão de máxima aceleração da curva dos cardiopatas ocorre próximo a 27.8 kg/m² (sobrepeso avançado), enquanto na população saudável estabiliza-se em patamares inferiores. No painel D (Peso corporal), a inflexão crítica dos cardiopatas situa-se em torno de 76.5 kg, demonstrando acentuada sobrecarga ponderal.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609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1_fig2_boxplots_antropomet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b/>
          <w:color w:val="1B365D"/>
          <w:sz w:val="19"/>
        </w:rPr>
        <w:t>Figura: Figura 2: Boxplots Pareados comparativos de variáveis antropométricas e cronológicas do tabagismo entre Saudáveis e Cardiopatas.</w:t>
      </w:r>
    </w:p>
    <w:p>
      <w:r>
        <w:t>Interpretação da Figura 2: A dispersão interquartil de IMC e peso corporal nos cardiopatas exibe caudas superiores ampliadas com presença substancial de valores extremos (outliers clínicos). A idade de início do tabagismo (Painel D) apresenta mediana precoce (15-16 anos), evidenciando o efeito cumulativo a longo prazo dos hidrocarbonetos policíclicos aromáticos na disfunção endotelial coronariana.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54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1_fig3_habitos_bivariada_acumul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b/>
          <w:color w:val="1B365D"/>
          <w:sz w:val="19"/>
        </w:rPr>
        <w:t>Figura: Figura 3: Distribuição Bivariada Proporcional de Estilos de Vida com Curvas Acumuladas de Vulnerabilidade. Evidenciam-se os contrastes em autoavaliação de saúde (N001), tabagismo (P050), sedentarismo (P03901) e álcool (P027).</w:t>
      </w:r>
    </w:p>
    <w:p>
      <w:r>
        <w:t>Interpretação da Figura 3: No painel A, a curva de frequência acumulada de percepção negativa de saúde cresce abruptamente entre os cardiopatas. No painel C, a prevalência de sedentarismo nos últimos 3 meses atinge patamares superiores a 75% nos indivíduos com cardiopatia, um dos fatores modificáveis mais expressivos no KDD.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6. Conclusões da Etapa 1 e Diretrizes para o Pré-Processamento</w:t>
      </w:r>
    </w:p>
    <w:p>
      <w:r>
        <w:t>A presente análise exploratória confirmou a viabilidade preditiva dos microdados da PNS 2019 e a relevância das 44 variáveis mapeadas. Identificaram-se dois desafios metodológicos mandatórios para as etapas seguintes:</w:t>
        <w:br/>
        <w:t>1. Presença de valores extremos (outliers) em variáveis antropométricas (peso, altura, cintura e quadril), que demandam tratamento por Winsorização/Capping na Etapa 2 para evitar distorção de variância sem descartar pacientes;</w:t>
        <w:br/>
        <w:t>2. Padrões estruturais de dados ausentes decorrentes de lógica de pulo (skip patterns em tabagismo e álcool), que devem ser resolvidos na Etapa 3 antes de qualquer imputação estocástica.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C757D"/>
        <w:sz w:val="17"/>
      </w:rPr>
      <w:t>Pesquisa Nacional de Saúde (IBGE) — Análise Focada em Doenças Cardiovasculares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C757D"/>
        <w:sz w:val="17"/>
      </w:rPr>
      <w:t>Projeto KDD - Microdados PNS 2019 | Epidemiologia Computacional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