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2E5B88"/>
          <w:sz w:val="19"/>
        </w:rPr>
        <w:t>RELATÓRIO TÉCNICO-CIENTÍFICO DE MINERAÇÃO DE DADOS • ETAPA 2 • KDD PIPELINE</w:t>
      </w:r>
    </w:p>
    <w:p>
      <w:pPr>
        <w:spacing w:before="0" w:after="120"/>
        <w:jc w:val="left"/>
      </w:pPr>
      <w:r>
        <w:rPr>
          <w:rFonts w:ascii="Calibri" w:hAnsi="Calibri"/>
          <w:b/>
          <w:color w:val="1B365D"/>
          <w:sz w:val="40"/>
        </w:rPr>
        <w:t>Etapa 2: Detecção de Anomalias e Tratamento de Outliers</w:t>
      </w:r>
    </w:p>
    <w:p>
      <w:pPr>
        <w:spacing w:before="0" w:after="280"/>
        <w:jc w:val="left"/>
      </w:pPr>
      <w:r>
        <w:rPr>
          <w:rFonts w:ascii="Calibri" w:hAnsi="Calibri"/>
          <w:i/>
          <w:color w:val="6C757D"/>
          <w:sz w:val="24"/>
        </w:rPr>
        <w:t>Aplicação Ético-Epidemiológica da Winsorização e Análise por Amplitude Interquartil (IQR)</w:t>
      </w:r>
    </w:p>
    <w:p>
      <w:pPr>
        <w:spacing w:after="280"/>
        <w:pBdr>
          <w:bottom w:val="single" w:sz="12" w:space="1" w:color="1B365D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Introdução e Contexto Epidemiológico do Tratamento de Outliers</w:t>
      </w:r>
    </w:p>
    <w:p>
      <w:r>
        <w:t>Em estudos epidemiológicos observacionais e mineração de dados populacionais em larga escala, a identificação de observações discrepantes (outliers) impõe um dilema metodológico e ético crucial. Diferentemente de experimentos controlados de bancada, valores extremos em variáveis biológicas e antropométricas (como peso corporal superior a 140 kg ou perímetros abdominais volumosos) frequentemente não decorrem de erros de digitação ou falhas de mensuração, mas representam a real manifestação fenotípica de subpopulações clínicas graves — tais como portadores de obesidade classe III (mórbida) e síndrome metabólica descompensada.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87"/>
      </w:tblGrid>
      <w:tr>
        <w:tc>
          <w:tcPr>
            <w:tcW w:type="dxa" w:w="9087"/>
            <w:shd w:fill="EBF3FA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2E5B88"/>
              <w:bottom w:val="none"/>
              <w:right w:val="none"/>
            </w:tcBorders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2E5B88"/>
                <w:sz w:val="21"/>
              </w:rPr>
              <w:t xml:space="preserve">📌 O Risco do Descarte de Registros (Listwise Deletion): </w:t>
            </w:r>
            <w:r>
              <w:rPr>
                <w:rFonts w:ascii="Calibri" w:hAnsi="Calibri"/>
                <w:color w:val="212529"/>
                <w:sz w:val="20"/>
              </w:rPr>
              <w:t>A eliminação pura e simples de registros atípicos (remoção de linhas) acarretaria grave viés de seleção (selection bias) e perda do poder estatístico amostral. Em estudos cardiovasculares, os pacientes mais vulneráveis residem justamente nas caudas superiores de adiposidade e tabagismo. Descartá-los atenuaria artificialmente a associação de risco entre obesidade e cardiopatia, enviesando os modelos preditivos subsequentes. Portanto, optou-se pela abordagem epidemiologicamente recomendada da Winsorização (Capping), na qual 100% dos 90.846 pacientes são mantidos, e os valores extremos além dos limiares de plausibilidade são truncados para os percentis máximos e mínimos aceitáveis.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Metodologia Formal e Formulações Matemáticas</w:t>
      </w:r>
    </w:p>
    <w:p>
      <w:r>
        <w:t>O protocolo computacional de tratamento de outliers integrou critérios estatísticos não-paramétricos com barreiras rígidas de plausibilidade fisiológica humana:</w:t>
      </w:r>
    </w:p>
    <w:p>
      <w:r>
        <w:t>• Método das Barreiras de Tukey (1977): Baseado na Amplitude Interquartil (IQR), que mede a dispersão central dos dados imune à contaminação de caudas longas:</w:t>
        <w:br/>
        <w:t xml:space="preserve">      IQR = Q_3 - Q_1</w:t>
        <w:br/>
        <w:t xml:space="preserve">      Lim_Estatístico_Inferior = Q_1 - 1,5 × IQR</w:t>
        <w:br/>
        <w:t xml:space="preserve">      Lim_Estatístico_Superior = Q_3 + 1,5 × IQR</w:t>
        <w:br/>
        <w:br/>
        <w:t>• Fronteiras Fisiológicas e Biológicas de Sanidade: Limiares absolutos estabelecidos a partir de consensos da Organização Mundial da Saúde (OMS) e da Sociedade Brasileira de Cardiologia (SBC):</w:t>
        <w:br/>
        <w:t xml:space="preserve">      - Peso Corporal (P00104): [30 kg, 220 kg]</w:t>
        <w:br/>
        <w:t xml:space="preserve">      - Altura Adulta (P00404): [120 cm, 220 cm]</w:t>
        <w:br/>
        <w:t xml:space="preserve">      - Circunferência da Cintura (W00101): [40 cm, 180 cm]</w:t>
        <w:br/>
        <w:t xml:space="preserve">      - Circunferência do Quadril (W00201): [50 cm, 220 cm]</w:t>
        <w:br/>
        <w:t xml:space="preserve">      - Idade de Início do Fumo (P053): [5 anos, 80 anos]</w:t>
        <w:br/>
        <w:t xml:space="preserve">      - Doses Diárias Típicas de Álcool (P029): [0 doses, 50 doses]</w:t>
        <w:br/>
        <w:br/>
        <w:t>• Formulação da Winsorização (Capping): O valor transformado x* para cada observação x_i é definido por:</w:t>
        <w:br/>
        <w:t xml:space="preserve">      x_i* = </w:t>
        <w:br/>
        <w:t xml:space="preserve">         { Limite_Inferior_Efetivo,  se x_i &lt; Limite_Inferior_Efetivo</w:t>
        <w:br/>
        <w:t xml:space="preserve">         { Limite_Superior_Efetivo,  se x_i &gt; Limite_Superior_Efetivo</w:t>
        <w:br/>
        <w:t xml:space="preserve">         { x_i,                      caso contrário</w:t>
        <w:br/>
        <w:t>onde Limite_Inferior_Efetivo = max(Lim_Bio_Min, Q_1 - 1,5 × IQR) e Limite_Superior_Efetivo = min(Lim_Bio_Max, Q_3 + 1,5 × IQR).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Auditoria Numérica de Outliers e Impacto Paramétrico</w:t>
      </w:r>
    </w:p>
    <w:p>
      <w:r>
        <w:t>A tabela a seguir apresenta o detalhamento exaustivo das variáveis contínuas tratadas, os limites estatísticos e fisiológicos adotados, o contingente de outliers retificados e o comportamento paramétrico (Média ± Desvio Padrão e Amplitude) antes e após a intervenção.</w:t>
      </w:r>
    </w:p>
    <w:p>
      <w:pPr>
        <w:keepNext/>
        <w:spacing w:before="200" w:after="60"/>
      </w:pPr>
      <w:r>
        <w:rPr>
          <w:rFonts w:ascii="Calibri" w:hAnsi="Calibri"/>
          <w:b/>
          <w:color w:val="1B365D"/>
          <w:sz w:val="20"/>
        </w:rPr>
        <w:t>Tabela: Resumo Consolidado do Tratamento de Outliers e Winsorização por Variável Contínua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5DD"/>
          <w:bottom w:val="single" w:sz="10" w:space="0" w:color="1B365D"/>
          <w:left w:val="none"/>
          <w:right w:val="none"/>
          <w:insideH w:val="single" w:sz="4" w:space="0" w:color="D0D5DD"/>
          <w:insideV w:val="none"/>
        </w:tblBorders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11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11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Lim Efetivo Capping</w:t>
            </w:r>
          </w:p>
        </w:tc>
        <w:tc>
          <w:tcPr>
            <w:tcW w:type="dxa" w:w="11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Outliers Inf</w:t>
            </w:r>
          </w:p>
        </w:tc>
        <w:tc>
          <w:tcPr>
            <w:tcW w:type="dxa" w:w="11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Outliers Sup</w:t>
            </w:r>
          </w:p>
        </w:tc>
        <w:tc>
          <w:tcPr>
            <w:tcW w:type="dxa" w:w="11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Total Outliers (%)</w:t>
            </w:r>
          </w:p>
        </w:tc>
        <w:tc>
          <w:tcPr>
            <w:tcW w:type="dxa" w:w="11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Antes (Média ± DP)</w:t>
            </w:r>
          </w:p>
        </w:tc>
        <w:tc>
          <w:tcPr>
            <w:tcW w:type="dxa" w:w="11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Depois (Média ± DP)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P00104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Peso corporal informado (kg)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[32.5, 108.5]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14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1.882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1,896 (2.11%)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71.88 ± 15.16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71.67 ± 14.53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P00404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Altura informada (cm)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[138.5, 190.5]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172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386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558 (0.62%)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164.91 ± 9.71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164.90 ± 9.64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W00101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Perímetro da cintura (cm)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[40.0, 112.8]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28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111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139 (2.12%)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72.45 ± 15.67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72.31 ± 15.16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W00201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Perímetro do quadril (cm)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[135.7, 192.5]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15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6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21 (0.32%)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164.15 ± 10.02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164.16 ± 9.98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P053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Idade início fumo diário (anos)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[5.5, 25.5]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102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2.058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2,160 (6.74%)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16.80 ± 6.32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16.24 ± 4.48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P05402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Qtd cigarros palha/rolo/dia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[0.0, 42.5]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39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39 (0.55%)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12.64 ± 9.39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12.54 ± 8.95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P05901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Tempo que parou de fumar (anos)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[0.0, 53.5]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196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196 (0.81%)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17.29 ± 12.93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17.24 ± 12.79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P029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Doses consumidas no dia típico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[0.0, 12.0]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1.340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1,340 (3.78%)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4.74 ± 4.69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4.39 ± 3.29</w:t>
            </w:r>
          </w:p>
        </w:tc>
      </w:tr>
    </w:tbl>
    <w:p>
      <w:pPr>
        <w:spacing w:before="40"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Análise Visual das Distribuições e Curvas de Frequência Acumulada</w:t>
      </w:r>
    </w:p>
    <w:p>
      <w:r>
        <w:t>A avaliação gráfica comprova a eficácia da Winsorização na supressão de distorções de variância, sem alterar a posição mediana ou a assimetria característica dos grupos biológicos.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454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pa2_fig1_boxplots_antes_depo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b/>
          <w:color w:val="1B365D"/>
          <w:sz w:val="19"/>
        </w:rPr>
        <w:t>Figura: Figura 1: Boxplots Comparativos 'Antes vs. Depois' da Winsorização para Peso, Altura, Cintura e Quadril. Observa-se o recolhimento das caudas extremas aos limites de tolerância sem perda de registros.</w:t>
      </w:r>
    </w:p>
    <w:p>
      <w:r>
        <w:t>Interpretação da Figura 1: Os diagramas de caixa demonstram que as observações além dos bigodes de Tukey foram ajustadas aos limiares de corte (por exemplo, peso limitado superiormente em 108.5 kg e cintura em 112.7 cm). A integridade dos 90.846 participantes foi 100% preservada, evitando qualquer erosão da base amostral.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454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pa2_fig2_ecdf_inflexao_antes_depo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b/>
          <w:color w:val="1B365D"/>
          <w:sz w:val="19"/>
        </w:rPr>
        <w:t>Figura: Figura 2: Curvas de Frequência Acumulada Empírica (ECDF) 'Antes vs. Depois' com indicação dos limiares de Capping. Evidenciam-se os pontos de inflexão superior onde a curva acumulada atinge 1.0 de forma suave e controlada.</w:t>
      </w:r>
    </w:p>
    <w:p>
      <w:r>
        <w:t>Interpretação da Figura 2: A comparação das curvas ECDF confirma que o núcleo central da distribuição populacional (entre os percentis P_05 e P_95) permaneceu rigorosamente idêntico. As alterações restringiram-se às extremidades assintóticas, eliminando valores fisiologicamente implausíveis ou excessivamente dispersos que poderiam degradar os cálculos de ganho de informação na Etapa 4.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454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pa2_fig3_kde_densidade_antes_depo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b/>
          <w:color w:val="1B365D"/>
          <w:sz w:val="19"/>
        </w:rPr>
        <w:t>Figura: Figura 3: Densidade Estimada de Probabilidade (KDE) Antes vs. Depois. A área nuclear e a assimetria original mantêm-se estáveis, com eliminação de ruídos nas caudas esparsas.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5. Conclusões da Etapa 2 e Transição para a Etapa 3</w:t>
      </w:r>
    </w:p>
    <w:p>
      <w:r>
        <w:t>O tratamento de outliers por Winsorização assegurou estabilidade matemática aos estimadores de dispersão e protegeu a integridade epidemiológica da amostra de 90.846 indivíduos. O arquivo intermediário 'pns_etapa2_outliers.csv' encontra-se devidamente gerado e padronizado. A etapa subsequente (Etapa 3) abordará o desafio dos dados faltantes, distinguindo os pulos estruturais do questionário das omissões aleatórias.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C757D"/>
        <w:sz w:val="17"/>
      </w:rPr>
      <w:t>Pesquisa Nacional de Saúde (IBGE) — Análise Focada em Doenças Cardiovasculares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C757D"/>
        <w:sz w:val="17"/>
      </w:rPr>
      <w:t>Projeto KDD - Microdados PNS 2019 | Epidemiologia Computacional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