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78D3D">
      <w:pPr>
        <w:spacing w:before="1200" w:after="120"/>
        <w:jc w:val="center"/>
      </w:pPr>
      <w:r>
        <w:rPr>
          <w:rFonts w:ascii="Arial" w:hAnsi="Arial" w:eastAsia="黑体"/>
          <w:b/>
          <w:i w:val="0"/>
          <w:sz w:val="32"/>
        </w:rPr>
        <w:t>《人机交互技术》期末项目</w:t>
      </w:r>
    </w:p>
    <w:p w14:paraId="66EA1D68">
      <w:pPr>
        <w:spacing w:before="80" w:after="600"/>
        <w:jc w:val="center"/>
      </w:pPr>
      <w:r>
        <w:rPr>
          <w:rFonts w:ascii="Arial" w:hAnsi="Arial" w:eastAsia="黑体"/>
          <w:b/>
          <w:i w:val="0"/>
          <w:color w:val="4472C4"/>
          <w:sz w:val="52"/>
        </w:rPr>
        <w:t>设  计  报  告</w:t>
      </w:r>
    </w:p>
    <w:p w14:paraId="515ABA82">
      <w:pPr>
        <w:jc w:val="center"/>
      </w:pPr>
      <w:r>
        <w:rPr>
          <w:rFonts w:ascii="Times New Roman" w:hAnsi="Times New Roman" w:eastAsia="宋体"/>
          <w:b w:val="0"/>
          <w:i w:val="0"/>
          <w:color w:val="4472C4"/>
          <w:sz w:val="24"/>
        </w:rPr>
        <w:t>────────────────────────────────</w:t>
      </w:r>
    </w:p>
    <w:p w14:paraId="67FDE654"/>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5386"/>
      </w:tblGrid>
      <w:tr w14:paraId="4D820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7"/>
          </w:tcPr>
          <w:p w14:paraId="69010A6E">
            <w:pPr>
              <w:spacing w:before="40" w:after="40" w:line="240" w:lineRule="auto"/>
              <w:jc w:val="center"/>
            </w:pPr>
            <w:r>
              <w:rPr>
                <w:rFonts w:ascii="Times New Roman" w:hAnsi="Times New Roman" w:eastAsia="宋体"/>
                <w:b/>
                <w:i w:val="0"/>
                <w:sz w:val="24"/>
              </w:rPr>
              <w:t>题    目</w:t>
            </w:r>
          </w:p>
        </w:tc>
        <w:tc>
          <w:tcPr>
            <w:tcW w:w="5386" w:type="dxa"/>
          </w:tcPr>
          <w:p w14:paraId="604A8972">
            <w:pPr>
              <w:spacing w:before="40" w:after="40" w:line="240" w:lineRule="auto"/>
              <w:jc w:val="left"/>
            </w:pPr>
            <w:r>
              <w:rPr>
                <w:rFonts w:ascii="Times New Roman" w:hAnsi="Times New Roman" w:eastAsia="宋体"/>
                <w:b w:val="0"/>
                <w:i w:val="0"/>
                <w:sz w:val="24"/>
              </w:rPr>
              <w:t>ColorView —— 色盲模拟与对比度检查器</w:t>
            </w:r>
          </w:p>
        </w:tc>
      </w:tr>
      <w:tr w14:paraId="54FC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7"/>
          </w:tcPr>
          <w:p w14:paraId="24C2F7EE">
            <w:pPr>
              <w:spacing w:before="40" w:after="40" w:line="240" w:lineRule="auto"/>
              <w:jc w:val="center"/>
            </w:pPr>
            <w:r>
              <w:rPr>
                <w:rFonts w:ascii="Times New Roman" w:hAnsi="Times New Roman" w:eastAsia="宋体"/>
                <w:b/>
                <w:i w:val="0"/>
                <w:sz w:val="24"/>
              </w:rPr>
              <w:t>学    院</w:t>
            </w:r>
          </w:p>
        </w:tc>
        <w:tc>
          <w:tcPr>
            <w:tcW w:w="5386" w:type="dxa"/>
          </w:tcPr>
          <w:p w14:paraId="0B89D526">
            <w:pPr>
              <w:spacing w:before="40" w:after="40" w:line="240" w:lineRule="auto"/>
              <w:jc w:val="left"/>
            </w:pPr>
            <w:r>
              <w:rPr>
                <w:rFonts w:ascii="Times New Roman" w:hAnsi="Times New Roman" w:eastAsia="宋体"/>
                <w:b w:val="0"/>
                <w:i w:val="0"/>
                <w:sz w:val="24"/>
              </w:rPr>
              <w:t>计算机科学与技术学院</w:t>
            </w:r>
          </w:p>
        </w:tc>
      </w:tr>
      <w:tr w14:paraId="0928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7"/>
          </w:tcPr>
          <w:p w14:paraId="50735E57">
            <w:pPr>
              <w:spacing w:before="40" w:after="40" w:line="240" w:lineRule="auto"/>
              <w:jc w:val="center"/>
            </w:pPr>
            <w:r>
              <w:rPr>
                <w:rFonts w:ascii="Times New Roman" w:hAnsi="Times New Roman" w:eastAsia="宋体"/>
                <w:b/>
                <w:i w:val="0"/>
                <w:sz w:val="24"/>
              </w:rPr>
              <w:t>专    业</w:t>
            </w:r>
          </w:p>
        </w:tc>
        <w:tc>
          <w:tcPr>
            <w:tcW w:w="5386" w:type="dxa"/>
          </w:tcPr>
          <w:p w14:paraId="4F255767">
            <w:pPr>
              <w:spacing w:before="40" w:after="40" w:line="240" w:lineRule="auto"/>
              <w:jc w:val="left"/>
            </w:pPr>
            <w:r>
              <w:rPr>
                <w:rFonts w:ascii="Times New Roman" w:hAnsi="Times New Roman" w:eastAsia="宋体"/>
                <w:b w:val="0"/>
                <w:i w:val="0"/>
                <w:sz w:val="24"/>
              </w:rPr>
              <w:t>计算机科学与技术</w:t>
            </w:r>
          </w:p>
        </w:tc>
      </w:tr>
      <w:tr w14:paraId="2EABB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7"/>
          </w:tcPr>
          <w:p w14:paraId="0DD9E1FA">
            <w:pPr>
              <w:spacing w:before="40" w:after="40" w:line="240" w:lineRule="auto"/>
              <w:jc w:val="center"/>
            </w:pPr>
            <w:r>
              <w:rPr>
                <w:rFonts w:ascii="Times New Roman" w:hAnsi="Times New Roman" w:eastAsia="宋体"/>
                <w:b/>
                <w:i w:val="0"/>
                <w:sz w:val="24"/>
              </w:rPr>
              <w:t>小组成员</w:t>
            </w:r>
          </w:p>
        </w:tc>
        <w:tc>
          <w:tcPr>
            <w:tcW w:w="5386" w:type="dxa"/>
          </w:tcPr>
          <w:p w14:paraId="7FC62F56">
            <w:pPr>
              <w:spacing w:before="40" w:after="40" w:line="240" w:lineRule="auto"/>
              <w:jc w:val="left"/>
            </w:pPr>
            <w:r>
              <w:rPr>
                <w:rFonts w:ascii="Times New Roman" w:hAnsi="Times New Roman" w:eastAsia="宋体"/>
                <w:b w:val="0"/>
                <w:i w:val="0"/>
                <w:sz w:val="24"/>
              </w:rPr>
              <w:t>王韩、韩宇、赵文鹏</w:t>
            </w:r>
          </w:p>
        </w:tc>
      </w:tr>
      <w:tr w14:paraId="5A82B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7"/>
          </w:tcPr>
          <w:p w14:paraId="7DCD710F">
            <w:pPr>
              <w:spacing w:before="40" w:after="40" w:line="240" w:lineRule="auto"/>
              <w:jc w:val="center"/>
            </w:pPr>
            <w:r>
              <w:rPr>
                <w:rFonts w:ascii="Times New Roman" w:hAnsi="Times New Roman" w:eastAsia="宋体"/>
                <w:b/>
                <w:i w:val="0"/>
                <w:sz w:val="24"/>
              </w:rPr>
              <w:t>指导教师</w:t>
            </w:r>
          </w:p>
        </w:tc>
        <w:tc>
          <w:tcPr>
            <w:tcW w:w="5386" w:type="dxa"/>
          </w:tcPr>
          <w:p w14:paraId="0C226F3C">
            <w:pPr>
              <w:spacing w:before="40" w:after="40" w:line="240" w:lineRule="auto"/>
              <w:jc w:val="left"/>
              <w:rPr>
                <w:rFonts w:hint="default" w:eastAsia="宋体"/>
                <w:lang w:val="en-US" w:eastAsia="zh-CN"/>
              </w:rPr>
            </w:pPr>
            <w:r>
              <w:rPr>
                <w:rFonts w:hint="eastAsia" w:eastAsia="宋体"/>
                <w:lang w:val="en-US" w:eastAsia="zh-CN"/>
              </w:rPr>
              <w:t>高岩</w:t>
            </w:r>
          </w:p>
        </w:tc>
      </w:tr>
      <w:tr w14:paraId="2F4C0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7"/>
          </w:tcPr>
          <w:p w14:paraId="0604B7B3">
            <w:pPr>
              <w:spacing w:before="40" w:after="40" w:line="240" w:lineRule="auto"/>
              <w:jc w:val="center"/>
            </w:pPr>
            <w:r>
              <w:rPr>
                <w:rFonts w:ascii="Times New Roman" w:hAnsi="Times New Roman" w:eastAsia="宋体"/>
                <w:b/>
                <w:i w:val="0"/>
                <w:sz w:val="24"/>
              </w:rPr>
              <w:t>撰写日期</w:t>
            </w:r>
          </w:p>
        </w:tc>
        <w:tc>
          <w:tcPr>
            <w:tcW w:w="5386" w:type="dxa"/>
          </w:tcPr>
          <w:p w14:paraId="1A72B73D">
            <w:pPr>
              <w:spacing w:before="40" w:after="40" w:line="240" w:lineRule="auto"/>
              <w:jc w:val="left"/>
            </w:pPr>
            <w:r>
              <w:rPr>
                <w:rFonts w:ascii="Times New Roman" w:hAnsi="Times New Roman" w:eastAsia="宋体"/>
                <w:b w:val="0"/>
                <w:i w:val="0"/>
                <w:sz w:val="24"/>
              </w:rPr>
              <w:t>2026 年  6 月  2 日</w:t>
            </w:r>
          </w:p>
        </w:tc>
      </w:tr>
    </w:tbl>
    <w:p w14:paraId="564381D9">
      <w:r>
        <w:br w:type="page"/>
      </w:r>
    </w:p>
    <w:p w14:paraId="6C05CEA7">
      <w:pPr>
        <w:spacing w:before="0" w:after="240"/>
        <w:jc w:val="center"/>
      </w:pPr>
      <w:r>
        <w:rPr>
          <w:rFonts w:ascii="Arial" w:hAnsi="Arial" w:eastAsia="黑体"/>
          <w:b/>
          <w:i w:val="0"/>
          <w:sz w:val="32"/>
        </w:rPr>
        <w:t>目  录</w:t>
      </w:r>
    </w:p>
    <w:p w14:paraId="35DEAB79">
      <w:pPr>
        <w:tabs>
          <w:tab w:val="right" w:leader="dot" w:pos="8640"/>
        </w:tabs>
        <w:spacing w:before="0" w:after="60"/>
        <w:jc w:val="left"/>
      </w:pPr>
      <w:r>
        <w:rPr>
          <w:rFonts w:ascii="Times New Roman" w:hAnsi="Times New Roman" w:eastAsia="宋体"/>
          <w:b w:val="0"/>
          <w:i w:val="0"/>
          <w:sz w:val="24"/>
        </w:rPr>
        <w:t>一、项目概述</w:t>
      </w:r>
      <w:r>
        <w:rPr>
          <w:rFonts w:ascii="Times New Roman" w:hAnsi="Times New Roman" w:eastAsia="宋体"/>
          <w:b w:val="0"/>
          <w:i w:val="0"/>
          <w:sz w:val="24"/>
        </w:rPr>
        <w:tab/>
      </w:r>
      <w:r>
        <w:rPr>
          <w:rFonts w:ascii="Times New Roman" w:hAnsi="Times New Roman" w:eastAsia="宋体"/>
          <w:b w:val="0"/>
          <w:i w:val="0"/>
          <w:sz w:val="24"/>
        </w:rPr>
        <w:t>3</w:t>
      </w:r>
    </w:p>
    <w:p w14:paraId="2D7E9D7E">
      <w:pPr>
        <w:tabs>
          <w:tab w:val="right" w:leader="dot" w:pos="8640"/>
        </w:tabs>
        <w:spacing w:before="0" w:after="60"/>
        <w:jc w:val="left"/>
      </w:pPr>
      <w:r>
        <w:rPr>
          <w:rFonts w:ascii="Times New Roman" w:hAnsi="Times New Roman" w:eastAsia="宋体"/>
          <w:b w:val="0"/>
          <w:i w:val="0"/>
          <w:sz w:val="24"/>
        </w:rPr>
        <w:t xml:space="preserve">    1.1  项目背景与目标用户</w:t>
      </w:r>
      <w:r>
        <w:rPr>
          <w:rFonts w:ascii="Times New Roman" w:hAnsi="Times New Roman" w:eastAsia="宋体"/>
          <w:b w:val="0"/>
          <w:i w:val="0"/>
          <w:sz w:val="24"/>
        </w:rPr>
        <w:tab/>
      </w:r>
      <w:r>
        <w:rPr>
          <w:rFonts w:ascii="Times New Roman" w:hAnsi="Times New Roman" w:eastAsia="宋体"/>
          <w:b w:val="0"/>
          <w:i w:val="0"/>
          <w:sz w:val="24"/>
        </w:rPr>
        <w:t>3</w:t>
      </w:r>
    </w:p>
    <w:p w14:paraId="5B570380">
      <w:pPr>
        <w:tabs>
          <w:tab w:val="right" w:leader="dot" w:pos="8640"/>
        </w:tabs>
        <w:spacing w:before="0" w:after="60"/>
        <w:jc w:val="left"/>
      </w:pPr>
      <w:r>
        <w:rPr>
          <w:rFonts w:ascii="Times New Roman" w:hAnsi="Times New Roman" w:eastAsia="宋体"/>
          <w:b w:val="0"/>
          <w:i w:val="0"/>
          <w:sz w:val="24"/>
        </w:rPr>
        <w:t xml:space="preserve">    1.2  最终交付成果</w:t>
      </w:r>
      <w:r>
        <w:rPr>
          <w:rFonts w:ascii="Times New Roman" w:hAnsi="Times New Roman" w:eastAsia="宋体"/>
          <w:b w:val="0"/>
          <w:i w:val="0"/>
          <w:sz w:val="24"/>
        </w:rPr>
        <w:tab/>
      </w:r>
      <w:r>
        <w:rPr>
          <w:rFonts w:ascii="Times New Roman" w:hAnsi="Times New Roman" w:eastAsia="宋体"/>
          <w:b w:val="0"/>
          <w:i w:val="0"/>
          <w:sz w:val="24"/>
        </w:rPr>
        <w:t>3</w:t>
      </w:r>
    </w:p>
    <w:p w14:paraId="37F7F1AF">
      <w:pPr>
        <w:tabs>
          <w:tab w:val="right" w:leader="dot" w:pos="8640"/>
        </w:tabs>
        <w:spacing w:before="0" w:after="60"/>
        <w:jc w:val="left"/>
      </w:pPr>
      <w:r>
        <w:rPr>
          <w:rFonts w:ascii="Times New Roman" w:hAnsi="Times New Roman" w:eastAsia="宋体"/>
          <w:b w:val="0"/>
          <w:i w:val="0"/>
          <w:sz w:val="24"/>
        </w:rPr>
        <w:t xml:space="preserve">    1.3  功能完成度评估</w:t>
      </w:r>
      <w:r>
        <w:rPr>
          <w:rFonts w:ascii="Times New Roman" w:hAnsi="Times New Roman" w:eastAsia="宋体"/>
          <w:b w:val="0"/>
          <w:i w:val="0"/>
          <w:sz w:val="24"/>
        </w:rPr>
        <w:tab/>
      </w:r>
      <w:r>
        <w:rPr>
          <w:rFonts w:ascii="Times New Roman" w:hAnsi="Times New Roman" w:eastAsia="宋体"/>
          <w:b w:val="0"/>
          <w:i w:val="0"/>
          <w:sz w:val="24"/>
        </w:rPr>
        <w:t>3</w:t>
      </w:r>
    </w:p>
    <w:p w14:paraId="6A1497F1">
      <w:pPr>
        <w:tabs>
          <w:tab w:val="right" w:leader="dot" w:pos="8640"/>
        </w:tabs>
        <w:spacing w:before="0" w:after="60"/>
        <w:jc w:val="left"/>
      </w:pPr>
      <w:r>
        <w:rPr>
          <w:rFonts w:ascii="Times New Roman" w:hAnsi="Times New Roman" w:eastAsia="宋体"/>
          <w:b w:val="0"/>
          <w:i w:val="0"/>
          <w:sz w:val="24"/>
        </w:rPr>
        <w:t>二、HCI 概念与 Shneiderman 八项黄金法则的应用</w:t>
      </w:r>
      <w:r>
        <w:rPr>
          <w:rFonts w:ascii="Times New Roman" w:hAnsi="Times New Roman" w:eastAsia="宋体"/>
          <w:b w:val="0"/>
          <w:i w:val="0"/>
          <w:sz w:val="24"/>
        </w:rPr>
        <w:tab/>
      </w:r>
      <w:r>
        <w:rPr>
          <w:rFonts w:ascii="Times New Roman" w:hAnsi="Times New Roman" w:eastAsia="宋体"/>
          <w:b w:val="0"/>
          <w:i w:val="0"/>
          <w:sz w:val="24"/>
        </w:rPr>
        <w:t>4</w:t>
      </w:r>
    </w:p>
    <w:p w14:paraId="53A61772">
      <w:pPr>
        <w:tabs>
          <w:tab w:val="right" w:leader="dot" w:pos="8640"/>
        </w:tabs>
        <w:spacing w:before="0" w:after="60"/>
        <w:jc w:val="left"/>
      </w:pPr>
      <w:r>
        <w:rPr>
          <w:rFonts w:ascii="Times New Roman" w:hAnsi="Times New Roman" w:eastAsia="宋体"/>
          <w:b w:val="0"/>
          <w:i w:val="0"/>
          <w:sz w:val="24"/>
        </w:rPr>
        <w:t xml:space="preserve">    2.1  可访问性设计（Accessibility Design）</w:t>
      </w:r>
      <w:r>
        <w:rPr>
          <w:rFonts w:ascii="Times New Roman" w:hAnsi="Times New Roman" w:eastAsia="宋体"/>
          <w:b w:val="0"/>
          <w:i w:val="0"/>
          <w:sz w:val="24"/>
        </w:rPr>
        <w:tab/>
      </w:r>
      <w:r>
        <w:rPr>
          <w:rFonts w:ascii="Times New Roman" w:hAnsi="Times New Roman" w:eastAsia="宋体"/>
          <w:b w:val="0"/>
          <w:i w:val="0"/>
          <w:sz w:val="24"/>
        </w:rPr>
        <w:t>4</w:t>
      </w:r>
    </w:p>
    <w:p w14:paraId="515FFE1E">
      <w:pPr>
        <w:tabs>
          <w:tab w:val="right" w:leader="dot" w:pos="8640"/>
        </w:tabs>
        <w:spacing w:before="0" w:after="60"/>
        <w:jc w:val="left"/>
      </w:pPr>
      <w:r>
        <w:rPr>
          <w:rFonts w:ascii="Times New Roman" w:hAnsi="Times New Roman" w:eastAsia="宋体"/>
          <w:b w:val="0"/>
          <w:i w:val="0"/>
          <w:sz w:val="24"/>
        </w:rPr>
        <w:t xml:space="preserve">    2.2  实时反馈与直接操作</w:t>
      </w:r>
      <w:r>
        <w:rPr>
          <w:rFonts w:ascii="Times New Roman" w:hAnsi="Times New Roman" w:eastAsia="宋体"/>
          <w:b w:val="0"/>
          <w:i w:val="0"/>
          <w:sz w:val="24"/>
        </w:rPr>
        <w:tab/>
      </w:r>
      <w:r>
        <w:rPr>
          <w:rFonts w:ascii="Times New Roman" w:hAnsi="Times New Roman" w:eastAsia="宋体"/>
          <w:b w:val="0"/>
          <w:i w:val="0"/>
          <w:sz w:val="24"/>
        </w:rPr>
        <w:t>4</w:t>
      </w:r>
    </w:p>
    <w:p w14:paraId="4C521936">
      <w:pPr>
        <w:tabs>
          <w:tab w:val="right" w:leader="dot" w:pos="8640"/>
        </w:tabs>
        <w:spacing w:before="0" w:after="60"/>
        <w:jc w:val="left"/>
      </w:pPr>
      <w:r>
        <w:rPr>
          <w:rFonts w:ascii="Times New Roman" w:hAnsi="Times New Roman" w:eastAsia="宋体"/>
          <w:b w:val="0"/>
          <w:i w:val="0"/>
          <w:sz w:val="24"/>
        </w:rPr>
        <w:t xml:space="preserve">    2.3  减少认知负担</w:t>
      </w:r>
      <w:r>
        <w:rPr>
          <w:rFonts w:ascii="Times New Roman" w:hAnsi="Times New Roman" w:eastAsia="宋体"/>
          <w:b w:val="0"/>
          <w:i w:val="0"/>
          <w:sz w:val="24"/>
        </w:rPr>
        <w:tab/>
      </w:r>
      <w:r>
        <w:rPr>
          <w:rFonts w:ascii="Times New Roman" w:hAnsi="Times New Roman" w:eastAsia="宋体"/>
          <w:b w:val="0"/>
          <w:i w:val="0"/>
          <w:sz w:val="24"/>
        </w:rPr>
        <w:t>5</w:t>
      </w:r>
    </w:p>
    <w:p w14:paraId="6CF112E8">
      <w:pPr>
        <w:tabs>
          <w:tab w:val="right" w:leader="dot" w:pos="8640"/>
        </w:tabs>
        <w:spacing w:before="0" w:after="60"/>
        <w:jc w:val="left"/>
      </w:pPr>
      <w:r>
        <w:rPr>
          <w:rFonts w:ascii="Times New Roman" w:hAnsi="Times New Roman" w:eastAsia="宋体"/>
          <w:b w:val="0"/>
          <w:i w:val="0"/>
          <w:sz w:val="24"/>
        </w:rPr>
        <w:t xml:space="preserve">    2.4  八项黄金法则逐条对应表</w:t>
      </w:r>
      <w:r>
        <w:rPr>
          <w:rFonts w:ascii="Times New Roman" w:hAnsi="Times New Roman" w:eastAsia="宋体"/>
          <w:b w:val="0"/>
          <w:i w:val="0"/>
          <w:sz w:val="24"/>
        </w:rPr>
        <w:tab/>
      </w:r>
      <w:r>
        <w:rPr>
          <w:rFonts w:ascii="Times New Roman" w:hAnsi="Times New Roman" w:eastAsia="宋体"/>
          <w:b w:val="0"/>
          <w:i w:val="0"/>
          <w:sz w:val="24"/>
        </w:rPr>
        <w:t>5</w:t>
      </w:r>
    </w:p>
    <w:p w14:paraId="5CE23FFA">
      <w:pPr>
        <w:tabs>
          <w:tab w:val="right" w:leader="dot" w:pos="8640"/>
        </w:tabs>
        <w:spacing w:before="0" w:after="60"/>
        <w:jc w:val="left"/>
      </w:pPr>
      <w:r>
        <w:rPr>
          <w:rFonts w:ascii="Times New Roman" w:hAnsi="Times New Roman" w:eastAsia="宋体"/>
          <w:b w:val="0"/>
          <w:i w:val="0"/>
          <w:sz w:val="24"/>
        </w:rPr>
        <w:t>三、界面设计与实现</w:t>
      </w:r>
      <w:r>
        <w:rPr>
          <w:rFonts w:ascii="Times New Roman" w:hAnsi="Times New Roman" w:eastAsia="宋体"/>
          <w:b w:val="0"/>
          <w:i w:val="0"/>
          <w:sz w:val="24"/>
        </w:rPr>
        <w:tab/>
      </w:r>
      <w:r>
        <w:rPr>
          <w:rFonts w:ascii="Times New Roman" w:hAnsi="Times New Roman" w:eastAsia="宋体"/>
          <w:b w:val="0"/>
          <w:i w:val="0"/>
          <w:sz w:val="24"/>
        </w:rPr>
        <w:t>7</w:t>
      </w:r>
    </w:p>
    <w:p w14:paraId="0975BE3F">
      <w:pPr>
        <w:tabs>
          <w:tab w:val="right" w:leader="dot" w:pos="8640"/>
        </w:tabs>
        <w:spacing w:before="0" w:after="60"/>
        <w:jc w:val="left"/>
      </w:pPr>
      <w:r>
        <w:rPr>
          <w:rFonts w:ascii="Times New Roman" w:hAnsi="Times New Roman" w:eastAsia="宋体"/>
          <w:b w:val="0"/>
          <w:i w:val="0"/>
          <w:sz w:val="24"/>
        </w:rPr>
        <w:t xml:space="preserve">    3.1  网页版（ColorView Web）</w:t>
      </w:r>
      <w:r>
        <w:rPr>
          <w:rFonts w:ascii="Times New Roman" w:hAnsi="Times New Roman" w:eastAsia="宋体"/>
          <w:b w:val="0"/>
          <w:i w:val="0"/>
          <w:sz w:val="24"/>
        </w:rPr>
        <w:tab/>
      </w:r>
      <w:r>
        <w:rPr>
          <w:rFonts w:ascii="Times New Roman" w:hAnsi="Times New Roman" w:eastAsia="宋体"/>
          <w:b w:val="0"/>
          <w:i w:val="0"/>
          <w:sz w:val="24"/>
        </w:rPr>
        <w:t>7</w:t>
      </w:r>
    </w:p>
    <w:p w14:paraId="575D13AB">
      <w:pPr>
        <w:tabs>
          <w:tab w:val="right" w:leader="dot" w:pos="8640"/>
        </w:tabs>
        <w:spacing w:before="0" w:after="60"/>
        <w:jc w:val="left"/>
      </w:pPr>
      <w:r>
        <w:rPr>
          <w:rFonts w:ascii="Times New Roman" w:hAnsi="Times New Roman" w:eastAsia="宋体"/>
          <w:b w:val="0"/>
          <w:i w:val="0"/>
          <w:sz w:val="24"/>
        </w:rPr>
        <w:t xml:space="preserve">    3.2  浏览器扩展版（ColorView Extension）</w:t>
      </w:r>
      <w:r>
        <w:rPr>
          <w:rFonts w:ascii="Times New Roman" w:hAnsi="Times New Roman" w:eastAsia="宋体"/>
          <w:b w:val="0"/>
          <w:i w:val="0"/>
          <w:sz w:val="24"/>
        </w:rPr>
        <w:tab/>
      </w:r>
      <w:r>
        <w:rPr>
          <w:rFonts w:ascii="Times New Roman" w:hAnsi="Times New Roman" w:eastAsia="宋体"/>
          <w:b w:val="0"/>
          <w:i w:val="0"/>
          <w:sz w:val="24"/>
        </w:rPr>
        <w:t>7</w:t>
      </w:r>
    </w:p>
    <w:p w14:paraId="1C8DB6F5">
      <w:pPr>
        <w:tabs>
          <w:tab w:val="right" w:leader="dot" w:pos="8640"/>
        </w:tabs>
        <w:spacing w:before="0" w:after="60"/>
        <w:jc w:val="left"/>
      </w:pPr>
      <w:r>
        <w:rPr>
          <w:rFonts w:ascii="Times New Roman" w:hAnsi="Times New Roman" w:eastAsia="宋体"/>
          <w:b w:val="0"/>
          <w:i w:val="0"/>
          <w:sz w:val="24"/>
        </w:rPr>
        <w:t xml:space="preserve">    3.3  核心算法实现</w:t>
      </w:r>
      <w:r>
        <w:rPr>
          <w:rFonts w:ascii="Times New Roman" w:hAnsi="Times New Roman" w:eastAsia="宋体"/>
          <w:b w:val="0"/>
          <w:i w:val="0"/>
          <w:sz w:val="24"/>
        </w:rPr>
        <w:tab/>
      </w:r>
      <w:r>
        <w:rPr>
          <w:rFonts w:ascii="Times New Roman" w:hAnsi="Times New Roman" w:eastAsia="宋体"/>
          <w:b w:val="0"/>
          <w:i w:val="0"/>
          <w:sz w:val="24"/>
        </w:rPr>
        <w:t>8</w:t>
      </w:r>
    </w:p>
    <w:p w14:paraId="77DAAEBB">
      <w:pPr>
        <w:tabs>
          <w:tab w:val="right" w:leader="dot" w:pos="8640"/>
        </w:tabs>
        <w:spacing w:before="0" w:after="60"/>
        <w:jc w:val="left"/>
      </w:pPr>
      <w:r>
        <w:rPr>
          <w:rFonts w:ascii="Times New Roman" w:hAnsi="Times New Roman" w:eastAsia="宋体"/>
          <w:b w:val="0"/>
          <w:i w:val="0"/>
          <w:sz w:val="24"/>
        </w:rPr>
        <w:t>四、已实现功能与未实现功能</w:t>
      </w:r>
      <w:r>
        <w:rPr>
          <w:rFonts w:ascii="Times New Roman" w:hAnsi="Times New Roman" w:eastAsia="宋体"/>
          <w:b w:val="0"/>
          <w:i w:val="0"/>
          <w:sz w:val="24"/>
        </w:rPr>
        <w:tab/>
      </w:r>
      <w:r>
        <w:rPr>
          <w:rFonts w:ascii="Times New Roman" w:hAnsi="Times New Roman" w:eastAsia="宋体"/>
          <w:b w:val="0"/>
          <w:i w:val="0"/>
          <w:sz w:val="24"/>
        </w:rPr>
        <w:t>9</w:t>
      </w:r>
    </w:p>
    <w:p w14:paraId="70DDC6A9">
      <w:pPr>
        <w:tabs>
          <w:tab w:val="right" w:leader="dot" w:pos="8640"/>
        </w:tabs>
        <w:spacing w:before="0" w:after="60"/>
        <w:jc w:val="left"/>
      </w:pPr>
      <w:r>
        <w:rPr>
          <w:rFonts w:ascii="Times New Roman" w:hAnsi="Times New Roman" w:eastAsia="宋体"/>
          <w:b w:val="0"/>
          <w:i w:val="0"/>
          <w:sz w:val="24"/>
        </w:rPr>
        <w:t xml:space="preserve">    4.1  已实现功能</w:t>
      </w:r>
      <w:r>
        <w:rPr>
          <w:rFonts w:ascii="Times New Roman" w:hAnsi="Times New Roman" w:eastAsia="宋体"/>
          <w:b w:val="0"/>
          <w:i w:val="0"/>
          <w:sz w:val="24"/>
        </w:rPr>
        <w:tab/>
      </w:r>
      <w:r>
        <w:rPr>
          <w:rFonts w:ascii="Times New Roman" w:hAnsi="Times New Roman" w:eastAsia="宋体"/>
          <w:b w:val="0"/>
          <w:i w:val="0"/>
          <w:sz w:val="24"/>
        </w:rPr>
        <w:t>9</w:t>
      </w:r>
    </w:p>
    <w:p w14:paraId="3126E0EC">
      <w:pPr>
        <w:tabs>
          <w:tab w:val="right" w:leader="dot" w:pos="8640"/>
        </w:tabs>
        <w:spacing w:before="0" w:after="60"/>
        <w:jc w:val="left"/>
      </w:pPr>
      <w:r>
        <w:rPr>
          <w:rFonts w:ascii="Times New Roman" w:hAnsi="Times New Roman" w:eastAsia="宋体"/>
          <w:b w:val="0"/>
          <w:i w:val="0"/>
          <w:sz w:val="24"/>
        </w:rPr>
        <w:t xml:space="preserve">    4.2  未实现 / 待改进功能</w:t>
      </w:r>
      <w:r>
        <w:rPr>
          <w:rFonts w:ascii="Times New Roman" w:hAnsi="Times New Roman" w:eastAsia="宋体"/>
          <w:b w:val="0"/>
          <w:i w:val="0"/>
          <w:sz w:val="24"/>
        </w:rPr>
        <w:tab/>
      </w:r>
      <w:r>
        <w:rPr>
          <w:rFonts w:ascii="Times New Roman" w:hAnsi="Times New Roman" w:eastAsia="宋体"/>
          <w:b w:val="0"/>
          <w:i w:val="0"/>
          <w:sz w:val="24"/>
        </w:rPr>
        <w:t>10</w:t>
      </w:r>
    </w:p>
    <w:p w14:paraId="27D5C932">
      <w:pPr>
        <w:tabs>
          <w:tab w:val="right" w:leader="dot" w:pos="8640"/>
        </w:tabs>
        <w:spacing w:before="0" w:after="60"/>
        <w:jc w:val="left"/>
      </w:pPr>
      <w:r>
        <w:rPr>
          <w:rFonts w:ascii="Times New Roman" w:hAnsi="Times New Roman" w:eastAsia="宋体"/>
          <w:b w:val="0"/>
          <w:i w:val="0"/>
          <w:sz w:val="24"/>
        </w:rPr>
        <w:t>五、用户测试计划</w:t>
      </w:r>
      <w:r>
        <w:rPr>
          <w:rFonts w:ascii="Times New Roman" w:hAnsi="Times New Roman" w:eastAsia="宋体"/>
          <w:b w:val="0"/>
          <w:i w:val="0"/>
          <w:sz w:val="24"/>
        </w:rPr>
        <w:tab/>
      </w:r>
      <w:r>
        <w:rPr>
          <w:rFonts w:ascii="Times New Roman" w:hAnsi="Times New Roman" w:eastAsia="宋体"/>
          <w:b w:val="0"/>
          <w:i w:val="0"/>
          <w:sz w:val="24"/>
        </w:rPr>
        <w:t>10</w:t>
      </w:r>
    </w:p>
    <w:p w14:paraId="1AE56F14">
      <w:pPr>
        <w:tabs>
          <w:tab w:val="right" w:leader="dot" w:pos="8640"/>
        </w:tabs>
        <w:spacing w:before="0" w:after="60"/>
        <w:jc w:val="left"/>
      </w:pPr>
      <w:r>
        <w:rPr>
          <w:rFonts w:ascii="Times New Roman" w:hAnsi="Times New Roman" w:eastAsia="宋体"/>
          <w:b w:val="0"/>
          <w:i w:val="0"/>
          <w:sz w:val="24"/>
        </w:rPr>
        <w:t xml:space="preserve">    5.1  测试方法与招募</w:t>
      </w:r>
      <w:r>
        <w:rPr>
          <w:rFonts w:ascii="Times New Roman" w:hAnsi="Times New Roman" w:eastAsia="宋体"/>
          <w:b w:val="0"/>
          <w:i w:val="0"/>
          <w:sz w:val="24"/>
        </w:rPr>
        <w:tab/>
      </w:r>
      <w:r>
        <w:rPr>
          <w:rFonts w:ascii="Times New Roman" w:hAnsi="Times New Roman" w:eastAsia="宋体"/>
          <w:b w:val="0"/>
          <w:i w:val="0"/>
          <w:sz w:val="24"/>
        </w:rPr>
        <w:t>10</w:t>
      </w:r>
    </w:p>
    <w:p w14:paraId="5CA7B22E">
      <w:pPr>
        <w:tabs>
          <w:tab w:val="right" w:leader="dot" w:pos="8640"/>
        </w:tabs>
        <w:spacing w:before="0" w:after="60"/>
        <w:jc w:val="left"/>
      </w:pPr>
      <w:r>
        <w:rPr>
          <w:rFonts w:ascii="Times New Roman" w:hAnsi="Times New Roman" w:eastAsia="宋体"/>
          <w:b w:val="0"/>
          <w:i w:val="0"/>
          <w:sz w:val="24"/>
        </w:rPr>
        <w:t xml:space="preserve">    5.2  测试任务</w:t>
      </w:r>
      <w:r>
        <w:rPr>
          <w:rFonts w:ascii="Times New Roman" w:hAnsi="Times New Roman" w:eastAsia="宋体"/>
          <w:b w:val="0"/>
          <w:i w:val="0"/>
          <w:sz w:val="24"/>
        </w:rPr>
        <w:tab/>
      </w:r>
      <w:r>
        <w:rPr>
          <w:rFonts w:ascii="Times New Roman" w:hAnsi="Times New Roman" w:eastAsia="宋体"/>
          <w:b w:val="0"/>
          <w:i w:val="0"/>
          <w:sz w:val="24"/>
        </w:rPr>
        <w:t>10</w:t>
      </w:r>
    </w:p>
    <w:p w14:paraId="3F1BCCCA">
      <w:pPr>
        <w:tabs>
          <w:tab w:val="right" w:leader="dot" w:pos="8640"/>
        </w:tabs>
        <w:spacing w:before="0" w:after="60"/>
        <w:jc w:val="left"/>
      </w:pPr>
      <w:r>
        <w:rPr>
          <w:rFonts w:ascii="Times New Roman" w:hAnsi="Times New Roman" w:eastAsia="宋体"/>
          <w:b w:val="0"/>
          <w:i w:val="0"/>
          <w:sz w:val="24"/>
        </w:rPr>
        <w:t xml:space="preserve">    5.3  评估指标</w:t>
      </w:r>
      <w:r>
        <w:rPr>
          <w:rFonts w:ascii="Times New Roman" w:hAnsi="Times New Roman" w:eastAsia="宋体"/>
          <w:b w:val="0"/>
          <w:i w:val="0"/>
          <w:sz w:val="24"/>
        </w:rPr>
        <w:tab/>
      </w:r>
      <w:r>
        <w:rPr>
          <w:rFonts w:ascii="Times New Roman" w:hAnsi="Times New Roman" w:eastAsia="宋体"/>
          <w:b w:val="0"/>
          <w:i w:val="0"/>
          <w:sz w:val="24"/>
        </w:rPr>
        <w:t>11</w:t>
      </w:r>
    </w:p>
    <w:p w14:paraId="596025C5">
      <w:pPr>
        <w:tabs>
          <w:tab w:val="right" w:leader="dot" w:pos="8640"/>
        </w:tabs>
        <w:spacing w:before="0" w:after="60"/>
        <w:jc w:val="left"/>
      </w:pPr>
      <w:r>
        <w:rPr>
          <w:rFonts w:ascii="Times New Roman" w:hAnsi="Times New Roman" w:eastAsia="宋体"/>
          <w:b w:val="0"/>
          <w:i w:val="0"/>
          <w:sz w:val="24"/>
        </w:rPr>
        <w:t>参考文献</w:t>
      </w:r>
      <w:r>
        <w:rPr>
          <w:rFonts w:ascii="Times New Roman" w:hAnsi="Times New Roman" w:eastAsia="宋体"/>
          <w:b w:val="0"/>
          <w:i w:val="0"/>
          <w:sz w:val="24"/>
        </w:rPr>
        <w:tab/>
      </w:r>
      <w:r>
        <w:rPr>
          <w:rFonts w:ascii="Times New Roman" w:hAnsi="Times New Roman" w:eastAsia="宋体"/>
          <w:b w:val="0"/>
          <w:i w:val="0"/>
          <w:sz w:val="24"/>
        </w:rPr>
        <w:t>11</w:t>
      </w:r>
    </w:p>
    <w:p w14:paraId="7915B6E7">
      <w:r>
        <w:br w:type="page"/>
      </w:r>
    </w:p>
    <w:p w14:paraId="5B9F6C27">
      <w:pPr>
        <w:spacing w:before="0" w:after="120"/>
        <w:jc w:val="left"/>
      </w:pPr>
      <w:r>
        <w:rPr>
          <w:rFonts w:ascii="Arial" w:hAnsi="Arial" w:eastAsia="黑体"/>
          <w:b/>
          <w:i w:val="0"/>
          <w:sz w:val="30"/>
        </w:rPr>
        <w:t>一、项目概述</w:t>
      </w:r>
    </w:p>
    <w:p w14:paraId="0B1BCF96">
      <w:pPr>
        <w:spacing w:before="200" w:after="80"/>
        <w:jc w:val="left"/>
      </w:pPr>
      <w:r>
        <w:rPr>
          <w:rFonts w:ascii="Arial" w:hAnsi="Arial" w:eastAsia="黑体"/>
          <w:b/>
          <w:i w:val="0"/>
          <w:sz w:val="26"/>
        </w:rPr>
        <w:t>1.1  项目背景与目标用户</w:t>
      </w:r>
    </w:p>
    <w:p w14:paraId="7850721B">
      <w:pPr>
        <w:spacing w:before="0" w:after="120"/>
        <w:ind w:firstLine="480"/>
        <w:jc w:val="both"/>
      </w:pPr>
      <w:r>
        <w:rPr>
          <w:rFonts w:ascii="Times New Roman" w:hAnsi="Times New Roman" w:eastAsia="宋体"/>
          <w:b w:val="0"/>
          <w:i w:val="0"/>
          <w:sz w:val="24"/>
        </w:rPr>
        <w:t>在全球范围内，约 8% 的男性和 0.5% 的女性患有不同程度的色觉缺陷（Color Vision Deficiency, CVD），总人数超过 3 亿。然而，当学生或非专业设计者制作 PPT 演示文稿、设计网页或创建可视化内容时，几乎从不考虑色盲用户的感知体验——要么不知道色盲用户看到的是什么效果，要么不清楚自己的配色方案是否会导致信息不可读。</w:t>
      </w:r>
    </w:p>
    <w:p w14:paraId="3258A5F4">
      <w:pPr>
        <w:spacing w:before="0" w:after="120"/>
        <w:ind w:firstLine="480"/>
        <w:jc w:val="both"/>
      </w:pPr>
      <w:r>
        <w:rPr>
          <w:rFonts w:ascii="Times New Roman" w:hAnsi="Times New Roman" w:eastAsia="宋体"/>
          <w:b w:val="0"/>
          <w:i w:val="0"/>
          <w:sz w:val="24"/>
        </w:rPr>
        <w:t>本项目的目标用户群体为：具有基础电脑操作能力、但不具备专业无障碍设计知识的在校大学生和非专业设计者，具体指需要经常制作课程 PPT、实验报告图表、社团海报或简单网页的大学生。他们需要一种零门槛、即时可用的工具，帮助他们在设计过程中看见色盲用户的世界，并确保关键信息的可读性。</w:t>
      </w:r>
    </w:p>
    <w:p w14:paraId="66383EB1">
      <w:pPr>
        <w:spacing w:before="200" w:after="80"/>
        <w:jc w:val="left"/>
      </w:pPr>
      <w:r>
        <w:rPr>
          <w:rFonts w:ascii="Arial" w:hAnsi="Arial" w:eastAsia="黑体"/>
          <w:b/>
          <w:i w:val="0"/>
          <w:sz w:val="26"/>
        </w:rPr>
        <w:t>1.2  最终交付成果</w:t>
      </w:r>
    </w:p>
    <w:p w14:paraId="0B033AAF">
      <w:pPr>
        <w:spacing w:before="0" w:after="120"/>
        <w:ind w:firstLine="480"/>
        <w:jc w:val="both"/>
      </w:pPr>
      <w:r>
        <w:rPr>
          <w:rFonts w:ascii="Times New Roman" w:hAnsi="Times New Roman" w:eastAsia="宋体"/>
          <w:b w:val="0"/>
          <w:i w:val="0"/>
          <w:sz w:val="24"/>
        </w:rPr>
        <w:t>本项目最终以双产品形态完成交付：</w:t>
      </w:r>
    </w:p>
    <w:p w14:paraId="214EBC56">
      <w:pPr>
        <w:spacing w:before="0" w:after="60"/>
        <w:ind w:left="480"/>
        <w:jc w:val="both"/>
      </w:pPr>
      <w:r>
        <w:rPr>
          <w:rFonts w:ascii="Times New Roman" w:hAnsi="Times New Roman" w:eastAsia="宋体"/>
          <w:b w:val="0"/>
          <w:i w:val="0"/>
          <w:sz w:val="24"/>
        </w:rPr>
        <w:t>•  ColorView Web（网页版）：基于 HTML5 Canvas 的独立网页工具（index.html，约 1380 行），用户通过浏览器直接打开即可上传图片进行色盲模拟与对比度检测，无需安装任何软件。</w:t>
      </w:r>
    </w:p>
    <w:p w14:paraId="4B27D042">
      <w:pPr>
        <w:spacing w:before="0" w:after="60"/>
        <w:ind w:left="480"/>
        <w:jc w:val="both"/>
      </w:pPr>
      <w:r>
        <w:rPr>
          <w:rFonts w:ascii="Times New Roman" w:hAnsi="Times New Roman" w:eastAsia="宋体"/>
          <w:b w:val="0"/>
          <w:i w:val="0"/>
          <w:sz w:val="24"/>
        </w:rPr>
        <w:t>•  ColorView Extension（浏览器扩展版）：基于 Manifest V3 标准的浏览器扩展（colorview-extension/，约 820 行），可在任意网页上实时开启色盲视觉模拟，右侧滑出 480px 侧栏面板，同时保留完整的图片分析与对比度检测功能，兼容 Microsoft Edge / Google Chrome / Firefox。</w:t>
      </w:r>
    </w:p>
    <w:p w14:paraId="27318F78">
      <w:pPr>
        <w:spacing w:before="200" w:after="80"/>
        <w:jc w:val="left"/>
      </w:pPr>
      <w:r>
        <w:rPr>
          <w:rFonts w:ascii="Arial" w:hAnsi="Arial" w:eastAsia="黑体"/>
          <w:b/>
          <w:i w:val="0"/>
          <w:sz w:val="26"/>
        </w:rPr>
        <w:t>1.3  功能完成度评估</w:t>
      </w:r>
    </w:p>
    <w:p w14:paraId="6D3C022E">
      <w:pPr>
        <w:spacing w:before="0" w:after="120"/>
        <w:ind w:firstLine="480"/>
        <w:jc w:val="both"/>
      </w:pPr>
      <w:r>
        <w:rPr>
          <w:rFonts w:ascii="Times New Roman" w:hAnsi="Times New Roman" w:eastAsia="宋体"/>
          <w:b w:val="0"/>
          <w:i w:val="0"/>
          <w:sz w:val="24"/>
        </w:rPr>
        <w:t>本项目整体实现完成度约为 95%。提案中规划的所有核心功能均已落地：6 种 CVD 类型实时模拟、WCAG 2.1 对比度检测（AA/AAA 四项判定）、量化改进建议、双模式架构（截图精确模拟 + SVG 快速滤镜）、右键菜单、键盘快捷键等。未能完成的约 5% 为扩展版的“个性化 CVD 严重程度滑块”交互细节，以及移动端（手机浏览器）的充分适配测试。</w:t>
      </w:r>
    </w:p>
    <w:p w14:paraId="58C0E4EB">
      <w:r>
        <w:br w:type="page"/>
      </w:r>
    </w:p>
    <w:p w14:paraId="01203662">
      <w:pPr>
        <w:spacing w:before="0" w:after="120"/>
        <w:jc w:val="left"/>
      </w:pPr>
      <w:r>
        <w:rPr>
          <w:rFonts w:ascii="Arial" w:hAnsi="Arial" w:eastAsia="黑体"/>
          <w:b/>
          <w:i w:val="0"/>
          <w:sz w:val="30"/>
        </w:rPr>
        <w:t>二、HCI 概念与 Shneiderman 八项黄金法则的应用</w:t>
      </w:r>
    </w:p>
    <w:p w14:paraId="5D843C07">
      <w:pPr>
        <w:spacing w:before="200" w:after="80"/>
        <w:jc w:val="left"/>
      </w:pPr>
      <w:r>
        <w:rPr>
          <w:rFonts w:ascii="Arial" w:hAnsi="Arial" w:eastAsia="黑体"/>
          <w:b/>
          <w:i w:val="0"/>
          <w:sz w:val="26"/>
        </w:rPr>
        <w:t>2.1  可访问性设计（Accessibility Design）</w:t>
      </w:r>
    </w:p>
    <w:p w14:paraId="13926B4F">
      <w:pPr>
        <w:spacing w:before="0" w:after="120"/>
        <w:ind w:firstLine="480"/>
        <w:jc w:val="both"/>
      </w:pPr>
      <w:r>
        <w:rPr>
          <w:rFonts w:ascii="Times New Roman" w:hAnsi="Times New Roman" w:eastAsia="宋体"/>
          <w:b w:val="0"/>
          <w:i w:val="0"/>
          <w:sz w:val="24"/>
        </w:rPr>
        <w:t>可访问性是本项目最核心的 HCI 概念。WCAG 2.1 Success Criterion 1.4.3（Contrast Minimum, AA 级）和 1.4.6（Contrast Enhanced, AAA 级）被直接嵌入工具的反馈机制：系统不仅实时计算对比度比率，更给出明确的通过/未通过判定，以及量化的改进方向（如加深文字颜色，差距 1.23 即可达到 4.5:1）。这种将无障碍标准前置到创作流程的设计，将传统上需要专业知识才能驾驭的可访问性检查变成了普通学生也能立即执行的操作。</w:t>
      </w:r>
    </w:p>
    <w:p w14:paraId="7BE4414F">
      <w:pPr>
        <w:spacing w:before="200" w:after="80"/>
        <w:jc w:val="left"/>
      </w:pPr>
      <w:r>
        <w:rPr>
          <w:rFonts w:ascii="Arial" w:hAnsi="Arial" w:eastAsia="黑体"/>
          <w:b/>
          <w:i w:val="0"/>
          <w:sz w:val="26"/>
        </w:rPr>
        <w:t>2.2  实时反馈与直接操作（Real-time Feedback &amp; Direct Manipulation）</w:t>
      </w:r>
    </w:p>
    <w:p w14:paraId="1FE3FC07">
      <w:pPr>
        <w:spacing w:before="0" w:after="120"/>
        <w:ind w:firstLine="480"/>
        <w:jc w:val="both"/>
      </w:pPr>
      <w:r>
        <w:rPr>
          <w:rFonts w:ascii="Times New Roman" w:hAnsi="Times New Roman" w:eastAsia="宋体"/>
          <w:b w:val="0"/>
          <w:i w:val="0"/>
          <w:sz w:val="24"/>
        </w:rPr>
        <w:t>依据 Shneiderman 黄金法则中提供信息丰富的反馈这一原则，ColorView 的所有核心操作均设计为即时响应：切换 CVD 类型时 Canvas 立即逐像素重渲染；点击图片采样颜色时对比度数值与 WCAG 达标状态即刻更新；截图模式下一键截图后 Brettel 算法直接在侧栏中输出模拟结果。用户在整个使用过程中始终保持操作→观察→调整的紧凑反馈环路，大幅降低了试错成本与认知负担。</w:t>
      </w:r>
    </w:p>
    <w:p w14:paraId="042E16EE">
      <w:pPr>
        <w:spacing w:before="200" w:after="80"/>
        <w:jc w:val="left"/>
      </w:pPr>
      <w:r>
        <w:rPr>
          <w:rFonts w:ascii="Arial" w:hAnsi="Arial" w:eastAsia="黑体"/>
          <w:b/>
          <w:i w:val="0"/>
          <w:sz w:val="26"/>
        </w:rPr>
        <w:t>2.3  减少认知负担（Reducing Cognitive Load）</w:t>
      </w:r>
    </w:p>
    <w:p w14:paraId="7D3D0053">
      <w:pPr>
        <w:spacing w:before="0" w:after="120"/>
        <w:ind w:firstLine="480"/>
        <w:jc w:val="both"/>
      </w:pPr>
      <w:r>
        <w:rPr>
          <w:rFonts w:ascii="Times New Roman" w:hAnsi="Times New Roman" w:eastAsia="宋体"/>
          <w:b w:val="0"/>
          <w:i w:val="0"/>
          <w:sz w:val="24"/>
        </w:rPr>
        <w:t>基于认知负荷理论（Cognitive Load Theory），本工具将色盲模拟与对比度检测两大功能集成于单一界面，消除了用户在多工具间切换带来的外在认知负荷。左右并排的对比布局让用户无需在脑海中想象色盲视角，而是直接看见；对比度结果使用颜色编码（绿色=通过，红色=未通过，黄色=部分通过）直观呈现，将 WCAG 数值标准转化为零解读成本的视觉信号，呼应了 Shneiderman 法则减少短期记忆负担的核心要求。</w:t>
      </w:r>
    </w:p>
    <w:p w14:paraId="30F0AF16">
      <w:pPr>
        <w:spacing w:before="200" w:after="80"/>
        <w:jc w:val="left"/>
      </w:pPr>
      <w:r>
        <w:rPr>
          <w:rFonts w:ascii="Arial" w:hAnsi="Arial" w:eastAsia="黑体"/>
          <w:b/>
          <w:i w:val="0"/>
          <w:sz w:val="26"/>
        </w:rPr>
        <w:t>2.4  Shneiderman 八项黄金法则逐条对应</w:t>
      </w:r>
    </w:p>
    <w:p w14:paraId="3502550D">
      <w:pPr>
        <w:spacing w:before="0" w:after="120"/>
        <w:ind w:firstLine="480"/>
        <w:jc w:val="both"/>
      </w:pPr>
      <w:r>
        <w:rPr>
          <w:rFonts w:ascii="Times New Roman" w:hAnsi="Times New Roman" w:eastAsia="宋体"/>
          <w:b w:val="0"/>
          <w:i w:val="0"/>
          <w:sz w:val="24"/>
        </w:rPr>
        <w:t>下表详细列出 Shneiderman（2016）八项黄金法则在 ColorView 双产品中的具体体现：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2721"/>
        <w:gridCol w:w="4762"/>
      </w:tblGrid>
      <w:tr w14:paraId="5690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4472C4"/>
          </w:tcPr>
          <w:p w14:paraId="5AEFEC52">
            <w:pPr>
              <w:spacing w:after="0" w:line="240" w:lineRule="auto"/>
              <w:jc w:val="center"/>
            </w:pPr>
            <w:r>
              <w:rPr>
                <w:rFonts w:ascii="Arial" w:hAnsi="Arial" w:eastAsia="黑体"/>
                <w:b/>
                <w:i w:val="0"/>
                <w:color w:val="FFFFFF"/>
                <w:sz w:val="22"/>
              </w:rPr>
              <w:t>#</w:t>
            </w:r>
          </w:p>
        </w:tc>
        <w:tc>
          <w:tcPr>
            <w:tcW w:w="2721" w:type="dxa"/>
            <w:shd w:val="clear" w:color="auto" w:fill="4472C4"/>
          </w:tcPr>
          <w:p w14:paraId="3730D1A5">
            <w:pPr>
              <w:spacing w:after="0" w:line="240" w:lineRule="auto"/>
              <w:jc w:val="center"/>
            </w:pPr>
            <w:r>
              <w:rPr>
                <w:rFonts w:ascii="Arial" w:hAnsi="Arial" w:eastAsia="黑体"/>
                <w:b/>
                <w:i w:val="0"/>
                <w:color w:val="FFFFFF"/>
                <w:sz w:val="22"/>
              </w:rPr>
              <w:t>黄金法则</w:t>
            </w:r>
          </w:p>
        </w:tc>
        <w:tc>
          <w:tcPr>
            <w:tcW w:w="4762" w:type="dxa"/>
            <w:shd w:val="clear" w:color="auto" w:fill="4472C4"/>
          </w:tcPr>
          <w:p w14:paraId="0A684056">
            <w:pPr>
              <w:spacing w:after="0" w:line="240" w:lineRule="auto"/>
              <w:jc w:val="center"/>
            </w:pPr>
            <w:r>
              <w:rPr>
                <w:rFonts w:ascii="Arial" w:hAnsi="Arial" w:eastAsia="黑体"/>
                <w:b/>
                <w:i w:val="0"/>
                <w:color w:val="FFFFFF"/>
                <w:sz w:val="22"/>
              </w:rPr>
              <w:t>ColorView 中的具体体现</w:t>
            </w:r>
          </w:p>
        </w:tc>
      </w:tr>
      <w:tr w14:paraId="54E8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EBF3FB"/>
          </w:tcPr>
          <w:p w14:paraId="3C8ED356">
            <w:pPr>
              <w:spacing w:before="40" w:after="40" w:line="240" w:lineRule="auto"/>
              <w:jc w:val="center"/>
            </w:pPr>
            <w:r>
              <w:rPr>
                <w:rFonts w:ascii="Times New Roman" w:hAnsi="Times New Roman" w:eastAsia="宋体"/>
                <w:b/>
                <w:i w:val="0"/>
                <w:sz w:val="22"/>
              </w:rPr>
              <w:t>1</w:t>
            </w:r>
          </w:p>
        </w:tc>
        <w:tc>
          <w:tcPr>
            <w:tcW w:w="2721" w:type="dxa"/>
            <w:shd w:val="clear" w:color="auto" w:fill="EBF3FB"/>
          </w:tcPr>
          <w:p w14:paraId="58E669BB">
            <w:pPr>
              <w:spacing w:before="40" w:after="40" w:line="240" w:lineRule="auto"/>
            </w:pPr>
            <w:r>
              <w:rPr>
                <w:rFonts w:ascii="Arial" w:hAnsi="Arial" w:eastAsia="黑体"/>
                <w:b/>
                <w:i w:val="0"/>
                <w:sz w:val="22"/>
              </w:rPr>
              <w:t>力求一致性</w:t>
            </w:r>
            <w:r>
              <w:rPr>
                <w:rFonts w:ascii="Arial" w:hAnsi="Arial" w:eastAsia="黑体"/>
                <w:b/>
                <w:i w:val="0"/>
                <w:sz w:val="22"/>
              </w:rPr>
              <w:br w:type="textWrapping"/>
            </w:r>
            <w:r>
              <w:rPr>
                <w:rFonts w:ascii="Times New Roman" w:hAnsi="Times New Roman" w:eastAsia="宋体"/>
                <w:b w:val="0"/>
                <w:i/>
                <w:sz w:val="20"/>
              </w:rPr>
              <w:t>(Strive for Consistency)</w:t>
            </w:r>
          </w:p>
        </w:tc>
        <w:tc>
          <w:tcPr>
            <w:tcW w:w="4762" w:type="dxa"/>
            <w:shd w:val="clear" w:color="auto" w:fill="EBF3FB"/>
          </w:tcPr>
          <w:p w14:paraId="348F4302">
            <w:pPr>
              <w:spacing w:before="40" w:after="40" w:line="240" w:lineRule="auto"/>
              <w:jc w:val="left"/>
            </w:pPr>
            <w:r>
              <w:rPr>
                <w:rFonts w:ascii="Times New Roman" w:hAnsi="Times New Roman" w:eastAsia="宋体"/>
                <w:b w:val="0"/>
                <w:i w:val="0"/>
                <w:sz w:val="21"/>
              </w:rPr>
              <w:t>网页版与扩展版共享同一套 CVD 类型命名和颜色编码体系（绿=通过/红=未通过）；弹窗与侧栏面板的对比度检测区采用相同信息层次与交互模式，用户在两个产品间无需重新学习。</w:t>
            </w:r>
          </w:p>
        </w:tc>
      </w:tr>
      <w:tr w14:paraId="54CCD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FFFFF"/>
          </w:tcPr>
          <w:p w14:paraId="3358F551">
            <w:pPr>
              <w:spacing w:before="40" w:after="40" w:line="240" w:lineRule="auto"/>
              <w:jc w:val="center"/>
            </w:pPr>
            <w:r>
              <w:rPr>
                <w:rFonts w:ascii="Times New Roman" w:hAnsi="Times New Roman" w:eastAsia="宋体"/>
                <w:b/>
                <w:i w:val="0"/>
                <w:sz w:val="22"/>
              </w:rPr>
              <w:t>2</w:t>
            </w:r>
          </w:p>
        </w:tc>
        <w:tc>
          <w:tcPr>
            <w:tcW w:w="2721" w:type="dxa"/>
            <w:shd w:val="clear" w:color="auto" w:fill="FFFFFF"/>
          </w:tcPr>
          <w:p w14:paraId="128E2602">
            <w:pPr>
              <w:spacing w:before="40" w:after="40" w:line="240" w:lineRule="auto"/>
            </w:pPr>
            <w:r>
              <w:rPr>
                <w:rFonts w:ascii="Arial" w:hAnsi="Arial" w:eastAsia="黑体"/>
                <w:b/>
                <w:i w:val="0"/>
                <w:sz w:val="22"/>
              </w:rPr>
              <w:t>满足通用可用性</w:t>
            </w:r>
            <w:r>
              <w:rPr>
                <w:rFonts w:ascii="Arial" w:hAnsi="Arial" w:eastAsia="黑体"/>
                <w:b/>
                <w:i w:val="0"/>
                <w:sz w:val="22"/>
              </w:rPr>
              <w:br w:type="textWrapping"/>
            </w:r>
            <w:r>
              <w:rPr>
                <w:rFonts w:ascii="Times New Roman" w:hAnsi="Times New Roman" w:eastAsia="宋体"/>
                <w:b w:val="0"/>
                <w:i/>
                <w:sz w:val="20"/>
              </w:rPr>
              <w:t>(Seek Universal Usability)</w:t>
            </w:r>
          </w:p>
        </w:tc>
        <w:tc>
          <w:tcPr>
            <w:tcW w:w="4762" w:type="dxa"/>
            <w:shd w:val="clear" w:color="auto" w:fill="FFFFFF"/>
          </w:tcPr>
          <w:p w14:paraId="375FBFAC">
            <w:pPr>
              <w:spacing w:before="40" w:after="40" w:line="240" w:lineRule="auto"/>
              <w:jc w:val="left"/>
            </w:pPr>
            <w:r>
              <w:rPr>
                <w:rFonts w:ascii="Times New Roman" w:hAnsi="Times New Roman" w:eastAsia="宋体"/>
                <w:b w:val="0"/>
                <w:i w:val="0"/>
                <w:sz w:val="21"/>
              </w:rPr>
              <w:t>键盘快捷键 1–6 快速切换六种 CVD 类型，满足频繁使用的高级用户；同时保留点击按钮的基础交互，适配无快捷键习惯的普通用户。中文界面专门面向中文用户生态，降低语言门槛。</w:t>
            </w:r>
          </w:p>
        </w:tc>
      </w:tr>
      <w:tr w14:paraId="0307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EBF3FB"/>
          </w:tcPr>
          <w:p w14:paraId="417C31F7">
            <w:pPr>
              <w:spacing w:before="40" w:after="40" w:line="240" w:lineRule="auto"/>
              <w:jc w:val="center"/>
            </w:pPr>
            <w:r>
              <w:rPr>
                <w:rFonts w:ascii="Times New Roman" w:hAnsi="Times New Roman" w:eastAsia="宋体"/>
                <w:b/>
                <w:i w:val="0"/>
                <w:sz w:val="22"/>
              </w:rPr>
              <w:t>3</w:t>
            </w:r>
          </w:p>
        </w:tc>
        <w:tc>
          <w:tcPr>
            <w:tcW w:w="2721" w:type="dxa"/>
            <w:shd w:val="clear" w:color="auto" w:fill="EBF3FB"/>
          </w:tcPr>
          <w:p w14:paraId="5ACF5BAE">
            <w:pPr>
              <w:spacing w:before="40" w:after="40" w:line="240" w:lineRule="auto"/>
            </w:pPr>
            <w:r>
              <w:rPr>
                <w:rFonts w:ascii="Arial" w:hAnsi="Arial" w:eastAsia="黑体"/>
                <w:b/>
                <w:i w:val="0"/>
                <w:sz w:val="22"/>
              </w:rPr>
              <w:t>提供信息丰富的反馈</w:t>
            </w:r>
            <w:r>
              <w:rPr>
                <w:rFonts w:ascii="Arial" w:hAnsi="Arial" w:eastAsia="黑体"/>
                <w:b/>
                <w:i w:val="0"/>
                <w:sz w:val="22"/>
              </w:rPr>
              <w:br w:type="textWrapping"/>
            </w:r>
            <w:r>
              <w:rPr>
                <w:rFonts w:ascii="Times New Roman" w:hAnsi="Times New Roman" w:eastAsia="宋体"/>
                <w:b w:val="0"/>
                <w:i/>
                <w:sz w:val="20"/>
              </w:rPr>
              <w:t>(Offer Informative Feedback)</w:t>
            </w:r>
          </w:p>
        </w:tc>
        <w:tc>
          <w:tcPr>
            <w:tcW w:w="4762" w:type="dxa"/>
            <w:shd w:val="clear" w:color="auto" w:fill="EBF3FB"/>
          </w:tcPr>
          <w:p w14:paraId="3C112AD8">
            <w:pPr>
              <w:spacing w:before="40" w:after="40" w:line="240" w:lineRule="auto"/>
              <w:jc w:val="left"/>
            </w:pPr>
            <w:r>
              <w:rPr>
                <w:rFonts w:ascii="Times New Roman" w:hAnsi="Times New Roman" w:eastAsia="宋体"/>
                <w:b w:val="0"/>
                <w:i w:val="0"/>
                <w:sz w:val="21"/>
              </w:rPr>
              <w:t>切换 CVD 类型即时重渲染 Canvas；对比度结果实时更新至小数点后两位；未通过 WCAG 标准时自动给出量化改进方向；截图模式下侧栏实时显示 HEX 值与 8 倍放大镜悬停预览。</w:t>
            </w:r>
          </w:p>
        </w:tc>
      </w:tr>
      <w:tr w14:paraId="07ED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FFFFF"/>
          </w:tcPr>
          <w:p w14:paraId="3DEDA15C">
            <w:pPr>
              <w:spacing w:before="40" w:after="40" w:line="240" w:lineRule="auto"/>
              <w:jc w:val="center"/>
            </w:pPr>
            <w:r>
              <w:rPr>
                <w:rFonts w:ascii="Times New Roman" w:hAnsi="Times New Roman" w:eastAsia="宋体"/>
                <w:b/>
                <w:i w:val="0"/>
                <w:sz w:val="22"/>
              </w:rPr>
              <w:t>4</w:t>
            </w:r>
          </w:p>
        </w:tc>
        <w:tc>
          <w:tcPr>
            <w:tcW w:w="2721" w:type="dxa"/>
            <w:shd w:val="clear" w:color="auto" w:fill="FFFFFF"/>
          </w:tcPr>
          <w:p w14:paraId="3F8316B1">
            <w:pPr>
              <w:spacing w:before="40" w:after="40" w:line="240" w:lineRule="auto"/>
            </w:pPr>
            <w:r>
              <w:rPr>
                <w:rFonts w:ascii="Arial" w:hAnsi="Arial" w:eastAsia="黑体"/>
                <w:b/>
                <w:i w:val="0"/>
                <w:sz w:val="22"/>
              </w:rPr>
              <w:t>设计对话以产生结束感</w:t>
            </w:r>
            <w:r>
              <w:rPr>
                <w:rFonts w:ascii="Arial" w:hAnsi="Arial" w:eastAsia="黑体"/>
                <w:b/>
                <w:i w:val="0"/>
                <w:sz w:val="22"/>
              </w:rPr>
              <w:br w:type="textWrapping"/>
            </w:r>
            <w:r>
              <w:rPr>
                <w:rFonts w:ascii="Times New Roman" w:hAnsi="Times New Roman" w:eastAsia="宋体"/>
                <w:b w:val="0"/>
                <w:i/>
                <w:sz w:val="20"/>
              </w:rPr>
              <w:t>(Design Dialogs to Yield Closure)</w:t>
            </w:r>
          </w:p>
        </w:tc>
        <w:tc>
          <w:tcPr>
            <w:tcW w:w="4762" w:type="dxa"/>
            <w:shd w:val="clear" w:color="auto" w:fill="FFFFFF"/>
          </w:tcPr>
          <w:p w14:paraId="6675D19F">
            <w:pPr>
              <w:spacing w:before="40" w:after="40" w:line="240" w:lineRule="auto"/>
              <w:jc w:val="left"/>
            </w:pPr>
            <w:r>
              <w:rPr>
                <w:rFonts w:ascii="Times New Roman" w:hAnsi="Times New Roman" w:eastAsia="宋体"/>
                <w:b w:val="0"/>
                <w:i w:val="0"/>
                <w:sz w:val="21"/>
              </w:rPr>
              <w:t>对比度检测完成后以明确的通过 AA 标准或未通过作为操作终态，形成清晰闭合感；模拟完成后左右并排布局直观呈现原始 vs 色盲视角的对比结果，用户可一眼判断设计是否存在问题。</w:t>
            </w:r>
          </w:p>
        </w:tc>
      </w:tr>
      <w:tr w14:paraId="45FB7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EBF3FB"/>
          </w:tcPr>
          <w:p w14:paraId="4B8C2F23">
            <w:pPr>
              <w:spacing w:before="40" w:after="40" w:line="240" w:lineRule="auto"/>
              <w:jc w:val="center"/>
            </w:pPr>
            <w:r>
              <w:rPr>
                <w:rFonts w:ascii="Times New Roman" w:hAnsi="Times New Roman" w:eastAsia="宋体"/>
                <w:b/>
                <w:i w:val="0"/>
                <w:sz w:val="22"/>
              </w:rPr>
              <w:t>5</w:t>
            </w:r>
          </w:p>
        </w:tc>
        <w:tc>
          <w:tcPr>
            <w:tcW w:w="2721" w:type="dxa"/>
            <w:shd w:val="clear" w:color="auto" w:fill="EBF3FB"/>
          </w:tcPr>
          <w:p w14:paraId="4851D5AB">
            <w:pPr>
              <w:spacing w:before="40" w:after="40" w:line="240" w:lineRule="auto"/>
            </w:pPr>
            <w:r>
              <w:rPr>
                <w:rFonts w:ascii="Arial" w:hAnsi="Arial" w:eastAsia="黑体"/>
                <w:b/>
                <w:i w:val="0"/>
                <w:sz w:val="22"/>
              </w:rPr>
              <w:t>预防错误</w:t>
            </w:r>
            <w:r>
              <w:rPr>
                <w:rFonts w:ascii="Arial" w:hAnsi="Arial" w:eastAsia="黑体"/>
                <w:b/>
                <w:i w:val="0"/>
                <w:sz w:val="22"/>
              </w:rPr>
              <w:br w:type="textWrapping"/>
            </w:r>
            <w:r>
              <w:rPr>
                <w:rFonts w:ascii="Times New Roman" w:hAnsi="Times New Roman" w:eastAsia="宋体"/>
                <w:b w:val="0"/>
                <w:i/>
                <w:sz w:val="20"/>
              </w:rPr>
              <w:t>(Prevent Errors)</w:t>
            </w:r>
          </w:p>
        </w:tc>
        <w:tc>
          <w:tcPr>
            <w:tcW w:w="4762" w:type="dxa"/>
            <w:shd w:val="clear" w:color="auto" w:fill="EBF3FB"/>
          </w:tcPr>
          <w:p w14:paraId="1A0AAB99">
            <w:pPr>
              <w:spacing w:before="40" w:after="40" w:line="240" w:lineRule="auto"/>
              <w:jc w:val="left"/>
            </w:pPr>
            <w:r>
              <w:rPr>
                <w:rFonts w:ascii="Times New Roman" w:hAnsi="Times New Roman" w:eastAsia="宋体"/>
                <w:b w:val="0"/>
                <w:i w:val="0"/>
                <w:sz w:val="21"/>
              </w:rPr>
              <w:t>图片上传仅接受 PNG / JPG / WebP 格式，拖拽区有明确格式提示；颜色拾取器限制输入范围；截图模式下若页面未加载完成，系统给出等待提示；对比度采样交替分配前景/背景色，避免重复选择同一区域。</w:t>
            </w:r>
          </w:p>
        </w:tc>
      </w:tr>
      <w:tr w14:paraId="4B4C4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FFFFF"/>
          </w:tcPr>
          <w:p w14:paraId="44B5A871">
            <w:pPr>
              <w:spacing w:before="40" w:after="40" w:line="240" w:lineRule="auto"/>
              <w:jc w:val="center"/>
            </w:pPr>
            <w:r>
              <w:rPr>
                <w:rFonts w:ascii="Times New Roman" w:hAnsi="Times New Roman" w:eastAsia="宋体"/>
                <w:b/>
                <w:i w:val="0"/>
                <w:sz w:val="22"/>
              </w:rPr>
              <w:t>6</w:t>
            </w:r>
          </w:p>
        </w:tc>
        <w:tc>
          <w:tcPr>
            <w:tcW w:w="2721" w:type="dxa"/>
            <w:shd w:val="clear" w:color="auto" w:fill="FFFFFF"/>
          </w:tcPr>
          <w:p w14:paraId="06ED7B1A">
            <w:pPr>
              <w:spacing w:before="40" w:after="40" w:line="240" w:lineRule="auto"/>
            </w:pPr>
            <w:r>
              <w:rPr>
                <w:rFonts w:ascii="Arial" w:hAnsi="Arial" w:eastAsia="黑体"/>
                <w:b/>
                <w:i w:val="0"/>
                <w:sz w:val="22"/>
              </w:rPr>
              <w:t>允许轻松撤销</w:t>
            </w:r>
            <w:r>
              <w:rPr>
                <w:rFonts w:ascii="Arial" w:hAnsi="Arial" w:eastAsia="黑体"/>
                <w:b/>
                <w:i w:val="0"/>
                <w:sz w:val="22"/>
              </w:rPr>
              <w:br w:type="textWrapping"/>
            </w:r>
            <w:r>
              <w:rPr>
                <w:rFonts w:ascii="Times New Roman" w:hAnsi="Times New Roman" w:eastAsia="宋体"/>
                <w:b w:val="0"/>
                <w:i/>
                <w:sz w:val="20"/>
              </w:rPr>
              <w:t>(Permit Easy Reversal of Actions)</w:t>
            </w:r>
          </w:p>
        </w:tc>
        <w:tc>
          <w:tcPr>
            <w:tcW w:w="4762" w:type="dxa"/>
            <w:shd w:val="clear" w:color="auto" w:fill="FFFFFF"/>
          </w:tcPr>
          <w:p w14:paraId="4B7BAE5C">
            <w:pPr>
              <w:spacing w:before="40" w:after="40" w:line="240" w:lineRule="auto"/>
              <w:jc w:val="left"/>
            </w:pPr>
            <w:r>
              <w:rPr>
                <w:rFonts w:ascii="Times New Roman" w:hAnsi="Times New Roman" w:eastAsia="宋体"/>
                <w:b w:val="0"/>
                <w:i w:val="0"/>
                <w:sz w:val="21"/>
              </w:rPr>
              <w:t>上传区域重新上传按钮可随时替换图片；颜色选择器重置按钮清空当前采样颜色；CVD 类型切换不会清空已选颜色，用户可在不同模拟视角间反复切换比较，无需担心数据丢失。</w:t>
            </w:r>
          </w:p>
        </w:tc>
      </w:tr>
      <w:tr w14:paraId="502C0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EBF3FB"/>
          </w:tcPr>
          <w:p w14:paraId="40E22BD4">
            <w:pPr>
              <w:spacing w:before="40" w:after="40" w:line="240" w:lineRule="auto"/>
              <w:jc w:val="center"/>
            </w:pPr>
            <w:r>
              <w:rPr>
                <w:rFonts w:ascii="Times New Roman" w:hAnsi="Times New Roman" w:eastAsia="宋体"/>
                <w:b/>
                <w:i w:val="0"/>
                <w:sz w:val="22"/>
              </w:rPr>
              <w:t>7</w:t>
            </w:r>
          </w:p>
        </w:tc>
        <w:tc>
          <w:tcPr>
            <w:tcW w:w="2721" w:type="dxa"/>
            <w:shd w:val="clear" w:color="auto" w:fill="EBF3FB"/>
          </w:tcPr>
          <w:p w14:paraId="51A5F7DA">
            <w:pPr>
              <w:spacing w:before="40" w:after="40" w:line="240" w:lineRule="auto"/>
            </w:pPr>
            <w:r>
              <w:rPr>
                <w:rFonts w:ascii="Arial" w:hAnsi="Arial" w:eastAsia="黑体"/>
                <w:b/>
                <w:i w:val="0"/>
                <w:sz w:val="22"/>
              </w:rPr>
              <w:t>支持内部控制点</w:t>
            </w:r>
            <w:r>
              <w:rPr>
                <w:rFonts w:ascii="Arial" w:hAnsi="Arial" w:eastAsia="黑体"/>
                <w:b/>
                <w:i w:val="0"/>
                <w:sz w:val="22"/>
              </w:rPr>
              <w:br w:type="textWrapping"/>
            </w:r>
            <w:r>
              <w:rPr>
                <w:rFonts w:ascii="Times New Roman" w:hAnsi="Times New Roman" w:eastAsia="宋体"/>
                <w:b w:val="0"/>
                <w:i/>
                <w:sz w:val="20"/>
              </w:rPr>
              <w:t>(Keep Users in Control)</w:t>
            </w:r>
          </w:p>
        </w:tc>
        <w:tc>
          <w:tcPr>
            <w:tcW w:w="4762" w:type="dxa"/>
            <w:shd w:val="clear" w:color="auto" w:fill="EBF3FB"/>
          </w:tcPr>
          <w:p w14:paraId="6A4FBB3C">
            <w:pPr>
              <w:spacing w:before="40" w:after="40" w:line="240" w:lineRule="auto"/>
              <w:jc w:val="left"/>
            </w:pPr>
            <w:r>
              <w:rPr>
                <w:rFonts w:ascii="Times New Roman" w:hAnsi="Times New Roman" w:eastAsia="宋体"/>
                <w:b w:val="0"/>
                <w:i w:val="0"/>
                <w:sz w:val="21"/>
              </w:rPr>
              <w:t>用户自主选择 CVD 类型（6 种）、模式（截图/实时）、采样颜色，系统不会自动推进任何步骤；扩展版悬浮球和侧栏可随时关闭，不强制介入正常浏览；所有操作由用户主动触发，系统被动响应。</w:t>
            </w:r>
          </w:p>
        </w:tc>
      </w:tr>
      <w:tr w14:paraId="168CB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FFFFF"/>
          </w:tcPr>
          <w:p w14:paraId="4B51A5D6">
            <w:pPr>
              <w:spacing w:before="40" w:after="40" w:line="240" w:lineRule="auto"/>
              <w:jc w:val="center"/>
            </w:pPr>
            <w:r>
              <w:rPr>
                <w:rFonts w:ascii="Times New Roman" w:hAnsi="Times New Roman" w:eastAsia="宋体"/>
                <w:b/>
                <w:i w:val="0"/>
                <w:sz w:val="22"/>
              </w:rPr>
              <w:t>8</w:t>
            </w:r>
          </w:p>
        </w:tc>
        <w:tc>
          <w:tcPr>
            <w:tcW w:w="2721" w:type="dxa"/>
            <w:shd w:val="clear" w:color="auto" w:fill="FFFFFF"/>
          </w:tcPr>
          <w:p w14:paraId="76E0A0D0">
            <w:pPr>
              <w:spacing w:before="40" w:after="40" w:line="240" w:lineRule="auto"/>
            </w:pPr>
            <w:r>
              <w:rPr>
                <w:rFonts w:ascii="Arial" w:hAnsi="Arial" w:eastAsia="黑体"/>
                <w:b/>
                <w:i w:val="0"/>
                <w:sz w:val="22"/>
              </w:rPr>
              <w:t>减少短期记忆负担</w:t>
            </w:r>
            <w:r>
              <w:rPr>
                <w:rFonts w:ascii="Arial" w:hAnsi="Arial" w:eastAsia="黑体"/>
                <w:b/>
                <w:i w:val="0"/>
                <w:sz w:val="22"/>
              </w:rPr>
              <w:br w:type="textWrapping"/>
            </w:r>
            <w:r>
              <w:rPr>
                <w:rFonts w:ascii="Times New Roman" w:hAnsi="Times New Roman" w:eastAsia="宋体"/>
                <w:b w:val="0"/>
                <w:i/>
                <w:sz w:val="20"/>
              </w:rPr>
              <w:t>(Reduce Short-Term Memory Load)</w:t>
            </w:r>
          </w:p>
        </w:tc>
        <w:tc>
          <w:tcPr>
            <w:tcW w:w="4762" w:type="dxa"/>
            <w:shd w:val="clear" w:color="auto" w:fill="FFFFFF"/>
          </w:tcPr>
          <w:p w14:paraId="119070C3">
            <w:pPr>
              <w:spacing w:before="40" w:after="40" w:line="240" w:lineRule="auto"/>
              <w:jc w:val="left"/>
            </w:pPr>
            <w:r>
              <w:rPr>
                <w:rFonts w:ascii="Times New Roman" w:hAnsi="Times New Roman" w:eastAsia="宋体"/>
                <w:b w:val="0"/>
                <w:i w:val="0"/>
                <w:sz w:val="21"/>
              </w:rPr>
              <w:t>左右并排对比布局让用户无需记忆原图即可直接观察差异；悬停放大镜实时显示鼠标位置 HEX 值，无需手动记录；截图模式将网页内容冻结在面板内，用户可在面板中直接操作，无需在浏览器窗口与工具间反复切换。</w:t>
            </w:r>
          </w:p>
        </w:tc>
      </w:tr>
    </w:tbl>
    <w:p w14:paraId="6C667322">
      <w:r>
        <w:br w:type="page"/>
      </w:r>
    </w:p>
    <w:p w14:paraId="1E71E96D">
      <w:pPr>
        <w:spacing w:before="0" w:after="120"/>
        <w:jc w:val="left"/>
      </w:pPr>
      <w:r>
        <w:rPr>
          <w:rFonts w:ascii="Arial" w:hAnsi="Arial" w:eastAsia="黑体"/>
          <w:b/>
          <w:i w:val="0"/>
          <w:sz w:val="30"/>
        </w:rPr>
        <w:t>三、界面设计与实现</w:t>
      </w:r>
    </w:p>
    <w:p w14:paraId="24F0636B">
      <w:pPr>
        <w:spacing w:before="200" w:after="80"/>
        <w:jc w:val="left"/>
      </w:pPr>
      <w:r>
        <w:rPr>
          <w:rFonts w:ascii="Arial" w:hAnsi="Arial" w:eastAsia="黑体"/>
          <w:b/>
          <w:i w:val="0"/>
          <w:sz w:val="26"/>
        </w:rPr>
        <w:t>3.1  网页版（ColorView Web）</w:t>
      </w:r>
    </w:p>
    <w:p w14:paraId="4EB43599">
      <w:pPr>
        <w:spacing w:before="0" w:after="120"/>
        <w:ind w:firstLine="480"/>
        <w:jc w:val="both"/>
      </w:pPr>
      <w:r>
        <w:rPr>
          <w:rFonts w:ascii="Times New Roman" w:hAnsi="Times New Roman" w:eastAsia="宋体"/>
          <w:b w:val="0"/>
          <w:i w:val="0"/>
          <w:sz w:val="24"/>
        </w:rPr>
        <w:t>网页版（index.html，约 1380 行）采用三栏式响应式布局：左侧为颜色输入区，支持拖拽上传图片（PNG / JPG / WebP）或手动输入十六进制颜色值，上传后可在原图上点击像素采样；中部为色盲模拟预览区，左右并排显示原始图像与选定 CVD 类型的实时模拟效果；右侧为对比度检测与建议区，实时展示 WCAG 对比度比率、AA / AAA 四项判定结果及量化改进方向。</w:t>
      </w:r>
    </w:p>
    <w:p w14:paraId="1744B51E">
      <w:pPr>
        <w:spacing w:before="0" w:after="120"/>
        <w:ind w:firstLine="480"/>
        <w:jc w:val="both"/>
      </w:pPr>
      <w:r>
        <w:rPr>
          <w:rFonts w:ascii="Times New Roman" w:hAnsi="Times New Roman" w:eastAsia="宋体"/>
          <w:b w:val="0"/>
          <w:i w:val="0"/>
          <w:sz w:val="24"/>
        </w:rPr>
        <w:t>界面使用中性灰白色调，穿插棋盘格透明背景以准确显示带透明通道的颜色区域。桌面端三栏并排显示，移动端自动纵向堆叠，保障在不同屏幕尺寸下的可用性。</w:t>
      </w:r>
    </w:p>
    <w:p w14:paraId="343DF8E3">
      <w:pPr>
        <w:spacing w:before="200" w:after="80"/>
        <w:jc w:val="left"/>
      </w:pPr>
      <w:r>
        <w:rPr>
          <w:rFonts w:ascii="Arial" w:hAnsi="Arial" w:eastAsia="黑体"/>
          <w:b/>
          <w:i w:val="0"/>
          <w:sz w:val="26"/>
        </w:rPr>
        <w:t>3.2  浏览器扩展版（ColorView Extension）</w:t>
      </w:r>
    </w:p>
    <w:p w14:paraId="4CD66AC5">
      <w:pPr>
        <w:spacing w:before="0" w:after="120"/>
        <w:ind w:firstLine="480"/>
        <w:jc w:val="both"/>
      </w:pPr>
      <w:r>
        <w:rPr>
          <w:rFonts w:ascii="Times New Roman" w:hAnsi="Times New Roman" w:eastAsia="宋体"/>
          <w:b w:val="0"/>
          <w:i w:val="0"/>
          <w:sz w:val="24"/>
        </w:rPr>
        <w:t>扩展版采用画中画侧栏布局：页面右侧注入紫色悬浮球（浮动入口按钮），点击后从右侧滑出 480px 宽的操作面板，面板内纵向排列模式切换器、CVD 类型选择器、预览区和对比度检测区。面板顶部固定工具栏，内容区域可滚动，设计上不遮挡用户当前的主要浏览区域，贯彻了 Shneiderman 法则中支持内部控制点与减少短期记忆负担的要求。</w:t>
      </w:r>
    </w:p>
    <w:p w14:paraId="07097DB0">
      <w:pPr>
        <w:spacing w:before="0" w:after="120"/>
        <w:ind w:firstLine="480"/>
        <w:jc w:val="both"/>
      </w:pPr>
      <w:r>
        <w:rPr>
          <w:rFonts w:ascii="Times New Roman" w:hAnsi="Times New Roman" w:eastAsia="宋体"/>
          <w:b w:val="0"/>
          <w:i w:val="0"/>
          <w:sz w:val="24"/>
        </w:rPr>
        <w:t>扩展版提供双模式切换：</w:t>
      </w:r>
    </w:p>
    <w:p w14:paraId="09B9BD74">
      <w:pPr>
        <w:spacing w:before="0" w:after="60"/>
        <w:ind w:left="480"/>
        <w:jc w:val="both"/>
      </w:pPr>
      <w:r>
        <w:rPr>
          <w:rFonts w:ascii="Times New Roman" w:hAnsi="Times New Roman" w:eastAsia="宋体"/>
          <w:b w:val="0"/>
          <w:i w:val="0"/>
          <w:sz w:val="24"/>
        </w:rPr>
        <w:t>•  截图模式（精准）：调用 chrome.tabs.captureVisibleTab API 截取当前可见区域，以 Brettel 1997 算法进行逐像素精确模拟，在面板内展示原始截图与模拟结果的左右对比，并支持在截图上点击拾取颜色进行对比度检测。</w:t>
      </w:r>
    </w:p>
    <w:p w14:paraId="63ACAAE1">
      <w:pPr>
        <w:spacing w:before="0" w:after="60"/>
        <w:ind w:left="480"/>
        <w:jc w:val="both"/>
      </w:pPr>
      <w:r>
        <w:rPr>
          <w:rFonts w:ascii="Times New Roman" w:hAnsi="Times New Roman" w:eastAsia="宋体"/>
          <w:b w:val="0"/>
          <w:i w:val="0"/>
          <w:sz w:val="24"/>
        </w:rPr>
        <w:t>•  实时模式（快速）：向页面注入 SVG feColorMatrix 滤镜，对全页面元素进行快速色彩映射，适合快速预览整体效果，响应延迟极低。</w:t>
      </w:r>
    </w:p>
    <w:p w14:paraId="62D2A58E">
      <w:pPr>
        <w:spacing w:before="0" w:after="120"/>
        <w:ind w:firstLine="480"/>
        <w:jc w:val="both"/>
      </w:pPr>
      <w:r>
        <w:rPr>
          <w:rFonts w:ascii="Times New Roman" w:hAnsi="Times New Roman" w:eastAsia="宋体"/>
          <w:b w:val="0"/>
          <w:i w:val="0"/>
          <w:sz w:val="24"/>
        </w:rPr>
        <w:t>此外，扩展版通过右键菜单提供两个快捷入口：使用 ColorView 分析此图片（对页面图片单独分析）和在此页面上开启色盲模拟（快速进入实时模式）。</w:t>
      </w:r>
    </w:p>
    <w:p w14:paraId="3A9FA98F">
      <w:pPr>
        <w:spacing w:before="200" w:after="80"/>
        <w:jc w:val="left"/>
      </w:pPr>
      <w:r>
        <w:rPr>
          <w:rFonts w:ascii="Arial" w:hAnsi="Arial" w:eastAsia="黑体"/>
          <w:b/>
          <w:i w:val="0"/>
          <w:sz w:val="26"/>
        </w:rPr>
        <w:t>3.3  核心算法实现</w:t>
      </w:r>
    </w:p>
    <w:p w14:paraId="28C4728C">
      <w:pPr>
        <w:spacing w:before="0" w:after="120"/>
        <w:ind w:firstLine="480"/>
        <w:jc w:val="both"/>
      </w:pPr>
      <w:r>
        <w:rPr>
          <w:rFonts w:ascii="Times New Roman" w:hAnsi="Times New Roman" w:eastAsia="宋体"/>
          <w:b w:val="0"/>
          <w:i w:val="0"/>
          <w:sz w:val="24"/>
        </w:rPr>
        <w:t>色盲模拟算法完整实现了 Brettel, Vienot &amp; Mollon（1997）论文所描述的像素处理管道：sRGB 伽马解码（线性化）→ 通过色盲类型对应的投影矩阵进行线性 RGB 色彩变换 → sRGB 伽马编码（逆变换）。对于异常三色视（色弱：Protanomaly、Deuteranomaly），在二色视矩阵与单位矩阵之间进行线性插值（severity = 0.6），以模拟轻度色觉异常。对于全色盲（Achromatopsia），采用 WCAG 2.1 相对亮度公式 L = 0.2126R + 0.7152G + 0.0722B 计算亮度后映射为灰度。</w:t>
      </w:r>
    </w:p>
    <w:p w14:paraId="017F23F7">
      <w:pPr>
        <w:spacing w:before="0" w:after="120"/>
        <w:ind w:firstLine="480"/>
        <w:jc w:val="both"/>
      </w:pPr>
      <w:r>
        <w:rPr>
          <w:rFonts w:ascii="Times New Roman" w:hAnsi="Times New Roman" w:eastAsia="宋体"/>
          <w:b w:val="0"/>
          <w:i w:val="0"/>
          <w:sz w:val="24"/>
        </w:rPr>
        <w:t>对比度计算严格实现 WCAG 2.1 相对亮度公式，经过与 WebAIM Contrast Checker 官方工具的交叉验证，结果完全一致，确保计算合规性。</w:t>
      </w:r>
    </w:p>
    <w:p w14:paraId="6EFC6BB5">
      <w:r>
        <w:br w:type="page"/>
      </w:r>
    </w:p>
    <w:p w14:paraId="018B18B7">
      <w:pPr>
        <w:spacing w:before="0" w:after="120"/>
        <w:jc w:val="left"/>
      </w:pPr>
      <w:r>
        <w:rPr>
          <w:rFonts w:ascii="Arial" w:hAnsi="Arial" w:eastAsia="黑体"/>
          <w:b/>
          <w:i w:val="0"/>
          <w:sz w:val="30"/>
        </w:rPr>
        <w:t>四、已实现功能与未实现功能</w:t>
      </w:r>
    </w:p>
    <w:p w14:paraId="3E14FBE1">
      <w:pPr>
        <w:spacing w:before="200" w:after="80"/>
        <w:jc w:val="left"/>
      </w:pPr>
      <w:r>
        <w:rPr>
          <w:rFonts w:ascii="Arial" w:hAnsi="Arial" w:eastAsia="黑体"/>
          <w:b/>
          <w:i w:val="0"/>
          <w:sz w:val="26"/>
        </w:rPr>
        <w:t>4.1  已实现功能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8"/>
        <w:gridCol w:w="2929"/>
        <w:gridCol w:w="2929"/>
      </w:tblGrid>
      <w:tr w14:paraId="4C70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4472C4"/>
          </w:tcPr>
          <w:p w14:paraId="56E64B2A">
            <w:pPr>
              <w:spacing w:after="0" w:line="240" w:lineRule="auto"/>
              <w:jc w:val="center"/>
            </w:pPr>
            <w:r>
              <w:rPr>
                <w:rFonts w:ascii="Arial" w:hAnsi="Arial" w:eastAsia="黑体"/>
                <w:b/>
                <w:i w:val="0"/>
                <w:color w:val="FFFFFF"/>
                <w:sz w:val="22"/>
              </w:rPr>
              <w:t>功能模块</w:t>
            </w:r>
          </w:p>
        </w:tc>
        <w:tc>
          <w:tcPr>
            <w:tcW w:w="2494" w:type="dxa"/>
            <w:shd w:val="clear" w:color="auto" w:fill="4472C4"/>
          </w:tcPr>
          <w:p w14:paraId="3F80B0CE">
            <w:pPr>
              <w:spacing w:after="0" w:line="240" w:lineRule="auto"/>
              <w:jc w:val="center"/>
            </w:pPr>
            <w:r>
              <w:rPr>
                <w:rFonts w:ascii="Arial" w:hAnsi="Arial" w:eastAsia="黑体"/>
                <w:b/>
                <w:i w:val="0"/>
                <w:color w:val="FFFFFF"/>
                <w:sz w:val="22"/>
              </w:rPr>
              <w:t>网页版 (Web)</w:t>
            </w:r>
          </w:p>
        </w:tc>
        <w:tc>
          <w:tcPr>
            <w:tcW w:w="2608" w:type="dxa"/>
            <w:shd w:val="clear" w:color="auto" w:fill="4472C4"/>
          </w:tcPr>
          <w:p w14:paraId="00B2E439">
            <w:pPr>
              <w:spacing w:after="0" w:line="240" w:lineRule="auto"/>
              <w:jc w:val="center"/>
            </w:pPr>
            <w:r>
              <w:rPr>
                <w:rFonts w:ascii="Arial" w:hAnsi="Arial" w:eastAsia="黑体"/>
                <w:b/>
                <w:i w:val="0"/>
                <w:color w:val="FFFFFF"/>
                <w:sz w:val="22"/>
              </w:rPr>
              <w:t>扩展版 (Extension)</w:t>
            </w:r>
          </w:p>
        </w:tc>
      </w:tr>
      <w:tr w14:paraId="39F1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BF3FB"/>
          </w:tcPr>
          <w:p w14:paraId="0BC41E99">
            <w:pPr>
              <w:spacing w:before="40" w:after="40" w:line="240" w:lineRule="auto"/>
              <w:jc w:val="left"/>
            </w:pPr>
            <w:r>
              <w:rPr>
                <w:rFonts w:ascii="Times New Roman" w:hAnsi="Times New Roman" w:eastAsia="宋体"/>
                <w:b w:val="0"/>
                <w:i w:val="0"/>
                <w:sz w:val="21"/>
              </w:rPr>
              <w:t>6 种 CVD 类型实时模拟</w:t>
            </w:r>
          </w:p>
        </w:tc>
        <w:tc>
          <w:tcPr>
            <w:tcW w:w="2929" w:type="dxa"/>
            <w:shd w:val="clear" w:color="auto" w:fill="EBF3FB"/>
          </w:tcPr>
          <w:p w14:paraId="63C4F568">
            <w:pPr>
              <w:spacing w:before="40" w:after="40" w:line="240" w:lineRule="auto"/>
              <w:jc w:val="center"/>
            </w:pPr>
            <w:r>
              <w:rPr>
                <w:rFonts w:ascii="Times New Roman" w:hAnsi="Times New Roman" w:eastAsia="宋体"/>
                <w:b w:val="0"/>
                <w:i w:val="0"/>
                <w:sz w:val="21"/>
              </w:rPr>
              <w:t>✓ Brettel Canvas 逐像素</w:t>
            </w:r>
          </w:p>
        </w:tc>
        <w:tc>
          <w:tcPr>
            <w:tcW w:w="2929" w:type="dxa"/>
            <w:shd w:val="clear" w:color="auto" w:fill="EBF3FB"/>
          </w:tcPr>
          <w:p w14:paraId="7791F074">
            <w:pPr>
              <w:spacing w:before="40" w:after="40" w:line="240" w:lineRule="auto"/>
              <w:jc w:val="center"/>
            </w:pPr>
            <w:r>
              <w:rPr>
                <w:rFonts w:ascii="Times New Roman" w:hAnsi="Times New Roman" w:eastAsia="宋体"/>
                <w:b w:val="0"/>
                <w:i w:val="0"/>
                <w:sz w:val="21"/>
              </w:rPr>
              <w:t>✓ 截图 Brettel / 实时 SVG</w:t>
            </w:r>
          </w:p>
        </w:tc>
      </w:tr>
      <w:tr w14:paraId="6880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FFFFFF"/>
          </w:tcPr>
          <w:p w14:paraId="1BC86123">
            <w:pPr>
              <w:spacing w:before="40" w:after="40" w:line="240" w:lineRule="auto"/>
              <w:jc w:val="left"/>
            </w:pPr>
            <w:r>
              <w:rPr>
                <w:rFonts w:ascii="Times New Roman" w:hAnsi="Times New Roman" w:eastAsia="宋体"/>
                <w:b w:val="0"/>
                <w:i w:val="0"/>
                <w:sz w:val="21"/>
              </w:rPr>
              <w:t>左右并排对比预览</w:t>
            </w:r>
          </w:p>
        </w:tc>
        <w:tc>
          <w:tcPr>
            <w:tcW w:w="2929" w:type="dxa"/>
            <w:shd w:val="clear" w:color="auto" w:fill="FFFFFF"/>
          </w:tcPr>
          <w:p w14:paraId="1C46DE29">
            <w:pPr>
              <w:spacing w:before="40" w:after="40" w:line="240" w:lineRule="auto"/>
              <w:jc w:val="center"/>
            </w:pPr>
            <w:r>
              <w:rPr>
                <w:rFonts w:ascii="Times New Roman" w:hAnsi="Times New Roman" w:eastAsia="宋体"/>
                <w:b w:val="0"/>
                <w:i w:val="0"/>
                <w:sz w:val="21"/>
              </w:rPr>
              <w:t>✓</w:t>
            </w:r>
          </w:p>
        </w:tc>
        <w:tc>
          <w:tcPr>
            <w:tcW w:w="2929" w:type="dxa"/>
            <w:shd w:val="clear" w:color="auto" w:fill="FFFFFF"/>
          </w:tcPr>
          <w:p w14:paraId="46579470">
            <w:pPr>
              <w:spacing w:before="40" w:after="40" w:line="240" w:lineRule="auto"/>
              <w:jc w:val="center"/>
            </w:pPr>
            <w:r>
              <w:rPr>
                <w:rFonts w:ascii="Times New Roman" w:hAnsi="Times New Roman" w:eastAsia="宋体"/>
                <w:b w:val="0"/>
                <w:i w:val="0"/>
                <w:sz w:val="21"/>
              </w:rPr>
              <w:t>✓</w:t>
            </w:r>
          </w:p>
        </w:tc>
      </w:tr>
      <w:tr w14:paraId="31A4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BF3FB"/>
          </w:tcPr>
          <w:p w14:paraId="6C760E12">
            <w:pPr>
              <w:spacing w:before="40" w:after="40" w:line="240" w:lineRule="auto"/>
              <w:jc w:val="left"/>
            </w:pPr>
            <w:r>
              <w:rPr>
                <w:rFonts w:ascii="Times New Roman" w:hAnsi="Times New Roman" w:eastAsia="宋体"/>
                <w:b w:val="0"/>
                <w:i w:val="0"/>
                <w:sz w:val="21"/>
              </w:rPr>
              <w:t>图片拖拽上传</w:t>
            </w:r>
          </w:p>
        </w:tc>
        <w:tc>
          <w:tcPr>
            <w:tcW w:w="2929" w:type="dxa"/>
            <w:shd w:val="clear" w:color="auto" w:fill="EBF3FB"/>
          </w:tcPr>
          <w:p w14:paraId="1FE80226">
            <w:pPr>
              <w:spacing w:before="40" w:after="40" w:line="240" w:lineRule="auto"/>
              <w:jc w:val="center"/>
            </w:pPr>
            <w:r>
              <w:rPr>
                <w:rFonts w:ascii="Times New Roman" w:hAnsi="Times New Roman" w:eastAsia="宋体"/>
                <w:b w:val="0"/>
                <w:i w:val="0"/>
                <w:sz w:val="21"/>
              </w:rPr>
              <w:t>✓ PNG/JPG/WebP</w:t>
            </w:r>
          </w:p>
        </w:tc>
        <w:tc>
          <w:tcPr>
            <w:tcW w:w="2929" w:type="dxa"/>
            <w:shd w:val="clear" w:color="auto" w:fill="EBF3FB"/>
          </w:tcPr>
          <w:p w14:paraId="13EC666F">
            <w:pPr>
              <w:spacing w:before="40" w:after="40" w:line="240" w:lineRule="auto"/>
              <w:jc w:val="center"/>
            </w:pPr>
            <w:r>
              <w:rPr>
                <w:rFonts w:ascii="Times New Roman" w:hAnsi="Times New Roman" w:eastAsia="宋体"/>
                <w:b w:val="0"/>
                <w:i w:val="0"/>
                <w:sz w:val="21"/>
              </w:rPr>
              <w:t>✓ 弹窗支持拖拽</w:t>
            </w:r>
          </w:p>
        </w:tc>
      </w:tr>
      <w:tr w14:paraId="43A0E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FFFFFF"/>
          </w:tcPr>
          <w:p w14:paraId="1C347B8A">
            <w:pPr>
              <w:spacing w:before="40" w:after="40" w:line="240" w:lineRule="auto"/>
              <w:jc w:val="left"/>
            </w:pPr>
            <w:r>
              <w:rPr>
                <w:rFonts w:ascii="Times New Roman" w:hAnsi="Times New Roman" w:eastAsia="宋体"/>
                <w:b w:val="0"/>
                <w:i w:val="0"/>
                <w:sz w:val="21"/>
              </w:rPr>
              <w:t>WCAG 对比度计算（AA/AAA）</w:t>
            </w:r>
          </w:p>
        </w:tc>
        <w:tc>
          <w:tcPr>
            <w:tcW w:w="2929" w:type="dxa"/>
            <w:shd w:val="clear" w:color="auto" w:fill="FFFFFF"/>
          </w:tcPr>
          <w:p w14:paraId="0C490774">
            <w:pPr>
              <w:spacing w:before="40" w:after="40" w:line="240" w:lineRule="auto"/>
              <w:jc w:val="center"/>
            </w:pPr>
            <w:r>
              <w:rPr>
                <w:rFonts w:ascii="Times New Roman" w:hAnsi="Times New Roman" w:eastAsia="宋体"/>
                <w:b w:val="0"/>
                <w:i w:val="0"/>
                <w:sz w:val="21"/>
              </w:rPr>
              <w:t>✓ 4 项判定</w:t>
            </w:r>
          </w:p>
        </w:tc>
        <w:tc>
          <w:tcPr>
            <w:tcW w:w="2929" w:type="dxa"/>
            <w:shd w:val="clear" w:color="auto" w:fill="FFFFFF"/>
          </w:tcPr>
          <w:p w14:paraId="6AEF18D6">
            <w:pPr>
              <w:spacing w:before="40" w:after="40" w:line="240" w:lineRule="auto"/>
              <w:jc w:val="center"/>
            </w:pPr>
            <w:r>
              <w:rPr>
                <w:rFonts w:ascii="Times New Roman" w:hAnsi="Times New Roman" w:eastAsia="宋体"/>
                <w:b w:val="0"/>
                <w:i w:val="0"/>
                <w:sz w:val="21"/>
              </w:rPr>
              <w:t>✓ 4 项判定</w:t>
            </w:r>
          </w:p>
        </w:tc>
      </w:tr>
      <w:tr w14:paraId="0E9D0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BF3FB"/>
          </w:tcPr>
          <w:p w14:paraId="453A4EC5">
            <w:pPr>
              <w:spacing w:before="40" w:after="40" w:line="240" w:lineRule="auto"/>
              <w:jc w:val="left"/>
            </w:pPr>
            <w:r>
              <w:rPr>
                <w:rFonts w:ascii="Times New Roman" w:hAnsi="Times New Roman" w:eastAsia="宋体"/>
                <w:b w:val="0"/>
                <w:i w:val="0"/>
                <w:sz w:val="21"/>
              </w:rPr>
              <w:t>量化改进建议</w:t>
            </w:r>
          </w:p>
        </w:tc>
        <w:tc>
          <w:tcPr>
            <w:tcW w:w="2929" w:type="dxa"/>
            <w:shd w:val="clear" w:color="auto" w:fill="EBF3FB"/>
          </w:tcPr>
          <w:p w14:paraId="4E9572B0">
            <w:pPr>
              <w:spacing w:before="40" w:after="40" w:line="240" w:lineRule="auto"/>
              <w:jc w:val="center"/>
            </w:pPr>
            <w:r>
              <w:rPr>
                <w:rFonts w:ascii="Times New Roman" w:hAnsi="Times New Roman" w:eastAsia="宋体"/>
                <w:b w:val="0"/>
                <w:i w:val="0"/>
                <w:sz w:val="21"/>
              </w:rPr>
              <w:t>✓ 自动生成</w:t>
            </w:r>
          </w:p>
        </w:tc>
        <w:tc>
          <w:tcPr>
            <w:tcW w:w="2929" w:type="dxa"/>
            <w:shd w:val="clear" w:color="auto" w:fill="EBF3FB"/>
          </w:tcPr>
          <w:p w14:paraId="0AF7D0C1">
            <w:pPr>
              <w:spacing w:before="40" w:after="40" w:line="240" w:lineRule="auto"/>
              <w:jc w:val="center"/>
            </w:pPr>
            <w:r>
              <w:rPr>
                <w:rFonts w:ascii="Times New Roman" w:hAnsi="Times New Roman" w:eastAsia="宋体"/>
                <w:b w:val="0"/>
                <w:i w:val="0"/>
                <w:sz w:val="21"/>
              </w:rPr>
              <w:t>✓ 自动生成</w:t>
            </w:r>
          </w:p>
        </w:tc>
      </w:tr>
      <w:tr w14:paraId="0B895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FFFFFF"/>
          </w:tcPr>
          <w:p w14:paraId="1365C022">
            <w:pPr>
              <w:spacing w:before="40" w:after="40" w:line="240" w:lineRule="auto"/>
              <w:jc w:val="left"/>
            </w:pPr>
            <w:r>
              <w:rPr>
                <w:rFonts w:ascii="Times New Roman" w:hAnsi="Times New Roman" w:eastAsia="宋体"/>
                <w:b w:val="0"/>
                <w:i w:val="0"/>
                <w:sz w:val="21"/>
              </w:rPr>
              <w:t>像素采样拾色器</w:t>
            </w:r>
          </w:p>
        </w:tc>
        <w:tc>
          <w:tcPr>
            <w:tcW w:w="2929" w:type="dxa"/>
            <w:shd w:val="clear" w:color="auto" w:fill="FFFFFF"/>
          </w:tcPr>
          <w:p w14:paraId="1C1B7066">
            <w:pPr>
              <w:spacing w:before="40" w:after="40" w:line="240" w:lineRule="auto"/>
              <w:jc w:val="center"/>
            </w:pPr>
            <w:r>
              <w:rPr>
                <w:rFonts w:ascii="Times New Roman" w:hAnsi="Times New Roman" w:eastAsia="宋体"/>
                <w:b w:val="0"/>
                <w:i w:val="0"/>
                <w:sz w:val="21"/>
              </w:rPr>
              <w:t>✓ 点击原图采样</w:t>
            </w:r>
          </w:p>
        </w:tc>
        <w:tc>
          <w:tcPr>
            <w:tcW w:w="2929" w:type="dxa"/>
            <w:shd w:val="clear" w:color="auto" w:fill="FFFFFF"/>
          </w:tcPr>
          <w:p w14:paraId="1E2EE4A0">
            <w:pPr>
              <w:spacing w:before="40" w:after="40" w:line="240" w:lineRule="auto"/>
              <w:jc w:val="center"/>
            </w:pPr>
            <w:r>
              <w:rPr>
                <w:rFonts w:ascii="Times New Roman" w:hAnsi="Times New Roman" w:eastAsia="宋体"/>
                <w:b w:val="0"/>
                <w:i w:val="0"/>
                <w:sz w:val="21"/>
              </w:rPr>
              <w:t>✓ 点击截图采样</w:t>
            </w:r>
          </w:p>
        </w:tc>
      </w:tr>
      <w:tr w14:paraId="323B0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BF3FB"/>
          </w:tcPr>
          <w:p w14:paraId="075E550E">
            <w:pPr>
              <w:spacing w:before="40" w:after="40" w:line="240" w:lineRule="auto"/>
              <w:jc w:val="left"/>
            </w:pPr>
            <w:r>
              <w:rPr>
                <w:rFonts w:ascii="Times New Roman" w:hAnsi="Times New Roman" w:eastAsia="宋体"/>
                <w:b w:val="0"/>
                <w:i w:val="0"/>
                <w:sz w:val="21"/>
              </w:rPr>
              <w:t>8 倍放大镜悬停预览</w:t>
            </w:r>
          </w:p>
        </w:tc>
        <w:tc>
          <w:tcPr>
            <w:tcW w:w="2929" w:type="dxa"/>
            <w:shd w:val="clear" w:color="auto" w:fill="EBF3FB"/>
          </w:tcPr>
          <w:p w14:paraId="5DB38831">
            <w:pPr>
              <w:spacing w:before="40" w:after="40" w:line="240" w:lineRule="auto"/>
              <w:jc w:val="center"/>
            </w:pPr>
            <w:r>
              <w:rPr>
                <w:rFonts w:ascii="Times New Roman" w:hAnsi="Times New Roman" w:eastAsia="宋体"/>
                <w:b w:val="0"/>
                <w:i w:val="0"/>
                <w:sz w:val="21"/>
              </w:rPr>
              <w:t>✓</w:t>
            </w:r>
          </w:p>
        </w:tc>
        <w:tc>
          <w:tcPr>
            <w:tcW w:w="2929" w:type="dxa"/>
            <w:shd w:val="clear" w:color="auto" w:fill="EBF3FB"/>
          </w:tcPr>
          <w:p w14:paraId="378DB751">
            <w:pPr>
              <w:spacing w:before="40" w:after="40" w:line="240" w:lineRule="auto"/>
              <w:jc w:val="center"/>
            </w:pPr>
            <w:r>
              <w:rPr>
                <w:rFonts w:ascii="Times New Roman" w:hAnsi="Times New Roman" w:eastAsia="宋体"/>
                <w:b w:val="0"/>
                <w:i w:val="0"/>
                <w:sz w:val="21"/>
              </w:rPr>
              <w:t>✓</w:t>
            </w:r>
          </w:p>
        </w:tc>
      </w:tr>
      <w:tr w14:paraId="498F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FFFFFF"/>
          </w:tcPr>
          <w:p w14:paraId="19407BFA">
            <w:pPr>
              <w:spacing w:before="40" w:after="40" w:line="240" w:lineRule="auto"/>
              <w:jc w:val="left"/>
            </w:pPr>
            <w:r>
              <w:rPr>
                <w:rFonts w:ascii="Times New Roman" w:hAnsi="Times New Roman" w:eastAsia="宋体"/>
                <w:b w:val="0"/>
                <w:i w:val="0"/>
                <w:sz w:val="21"/>
              </w:rPr>
              <w:t>键盘快捷键 1–6 切换</w:t>
            </w:r>
          </w:p>
        </w:tc>
        <w:tc>
          <w:tcPr>
            <w:tcW w:w="2929" w:type="dxa"/>
            <w:shd w:val="clear" w:color="auto" w:fill="FFFFFF"/>
          </w:tcPr>
          <w:p w14:paraId="06EC0736">
            <w:pPr>
              <w:spacing w:before="40" w:after="40" w:line="240" w:lineRule="auto"/>
              <w:jc w:val="center"/>
            </w:pPr>
            <w:r>
              <w:rPr>
                <w:rFonts w:ascii="Times New Roman" w:hAnsi="Times New Roman" w:eastAsia="宋体"/>
                <w:b w:val="0"/>
                <w:i w:val="0"/>
                <w:sz w:val="21"/>
              </w:rPr>
              <w:t>✓</w:t>
            </w:r>
          </w:p>
        </w:tc>
        <w:tc>
          <w:tcPr>
            <w:tcW w:w="2929" w:type="dxa"/>
            <w:shd w:val="clear" w:color="auto" w:fill="FFFFFF"/>
          </w:tcPr>
          <w:p w14:paraId="57305880">
            <w:pPr>
              <w:spacing w:before="40" w:after="40" w:line="240" w:lineRule="auto"/>
              <w:jc w:val="center"/>
            </w:pPr>
            <w:r>
              <w:rPr>
                <w:rFonts w:ascii="Times New Roman" w:hAnsi="Times New Roman" w:eastAsia="宋体"/>
                <w:b w:val="0"/>
                <w:i w:val="0"/>
                <w:sz w:val="21"/>
              </w:rPr>
              <w:t>✓</w:t>
            </w:r>
          </w:p>
        </w:tc>
      </w:tr>
      <w:tr w14:paraId="149B4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BF3FB"/>
          </w:tcPr>
          <w:p w14:paraId="7D11A2D3">
            <w:pPr>
              <w:spacing w:before="40" w:after="40" w:line="240" w:lineRule="auto"/>
              <w:jc w:val="left"/>
            </w:pPr>
            <w:r>
              <w:rPr>
                <w:rFonts w:ascii="Times New Roman" w:hAnsi="Times New Roman" w:eastAsia="宋体"/>
                <w:b w:val="0"/>
                <w:i w:val="0"/>
                <w:sz w:val="21"/>
              </w:rPr>
              <w:t>悬浮球入口 + 侧栏面板</w:t>
            </w:r>
          </w:p>
        </w:tc>
        <w:tc>
          <w:tcPr>
            <w:tcW w:w="2929" w:type="dxa"/>
            <w:shd w:val="clear" w:color="auto" w:fill="EBF3FB"/>
          </w:tcPr>
          <w:p w14:paraId="27C6CC7D">
            <w:pPr>
              <w:spacing w:before="40" w:after="40" w:line="240" w:lineRule="auto"/>
              <w:jc w:val="center"/>
            </w:pPr>
            <w:r>
              <w:rPr>
                <w:rFonts w:ascii="Times New Roman" w:hAnsi="Times New Roman" w:eastAsia="宋体"/>
                <w:b w:val="0"/>
                <w:i w:val="0"/>
                <w:sz w:val="21"/>
              </w:rPr>
              <w:t>—</w:t>
            </w:r>
          </w:p>
        </w:tc>
        <w:tc>
          <w:tcPr>
            <w:tcW w:w="2929" w:type="dxa"/>
            <w:shd w:val="clear" w:color="auto" w:fill="EBF3FB"/>
          </w:tcPr>
          <w:p w14:paraId="3DBC2DB1">
            <w:pPr>
              <w:spacing w:before="40" w:after="40" w:line="240" w:lineRule="auto"/>
              <w:jc w:val="center"/>
            </w:pPr>
            <w:r>
              <w:rPr>
                <w:rFonts w:ascii="Times New Roman" w:hAnsi="Times New Roman" w:eastAsia="宋体"/>
                <w:b w:val="0"/>
                <w:i w:val="0"/>
                <w:sz w:val="21"/>
              </w:rPr>
              <w:t>✓</w:t>
            </w:r>
          </w:p>
        </w:tc>
      </w:tr>
      <w:tr w14:paraId="253B7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FFFFFF"/>
          </w:tcPr>
          <w:p w14:paraId="2783FB5F">
            <w:pPr>
              <w:spacing w:before="40" w:after="40" w:line="240" w:lineRule="auto"/>
              <w:jc w:val="left"/>
            </w:pPr>
            <w:r>
              <w:rPr>
                <w:rFonts w:ascii="Times New Roman" w:hAnsi="Times New Roman" w:eastAsia="宋体"/>
                <w:b w:val="0"/>
                <w:i w:val="0"/>
                <w:sz w:val="21"/>
              </w:rPr>
              <w:t>截图模式（浏览器截图）</w:t>
            </w:r>
          </w:p>
        </w:tc>
        <w:tc>
          <w:tcPr>
            <w:tcW w:w="2929" w:type="dxa"/>
            <w:shd w:val="clear" w:color="auto" w:fill="FFFFFF"/>
          </w:tcPr>
          <w:p w14:paraId="048480F0">
            <w:pPr>
              <w:spacing w:before="40" w:after="40" w:line="240" w:lineRule="auto"/>
              <w:jc w:val="center"/>
            </w:pPr>
            <w:r>
              <w:rPr>
                <w:rFonts w:ascii="Times New Roman" w:hAnsi="Times New Roman" w:eastAsia="宋体"/>
                <w:b w:val="0"/>
                <w:i w:val="0"/>
                <w:sz w:val="21"/>
              </w:rPr>
              <w:t>—</w:t>
            </w:r>
          </w:p>
        </w:tc>
        <w:tc>
          <w:tcPr>
            <w:tcW w:w="2929" w:type="dxa"/>
            <w:shd w:val="clear" w:color="auto" w:fill="FFFFFF"/>
          </w:tcPr>
          <w:p w14:paraId="0EAE1FC4">
            <w:pPr>
              <w:spacing w:before="40" w:after="40" w:line="240" w:lineRule="auto"/>
              <w:jc w:val="center"/>
            </w:pPr>
            <w:r>
              <w:rPr>
                <w:rFonts w:ascii="Times New Roman" w:hAnsi="Times New Roman" w:eastAsia="宋体"/>
                <w:b w:val="0"/>
                <w:i w:val="0"/>
                <w:sz w:val="21"/>
              </w:rPr>
              <w:t>✓ captureVisibleTab</w:t>
            </w:r>
          </w:p>
        </w:tc>
      </w:tr>
      <w:tr w14:paraId="0D15F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BF3FB"/>
          </w:tcPr>
          <w:p w14:paraId="5B73F17A">
            <w:pPr>
              <w:spacing w:before="40" w:after="40" w:line="240" w:lineRule="auto"/>
              <w:jc w:val="left"/>
            </w:pPr>
            <w:r>
              <w:rPr>
                <w:rFonts w:ascii="Times New Roman" w:hAnsi="Times New Roman" w:eastAsia="宋体"/>
                <w:b w:val="0"/>
                <w:i w:val="0"/>
                <w:sz w:val="21"/>
              </w:rPr>
              <w:t>实时模式（SVG 滤镜）</w:t>
            </w:r>
          </w:p>
        </w:tc>
        <w:tc>
          <w:tcPr>
            <w:tcW w:w="2929" w:type="dxa"/>
            <w:shd w:val="clear" w:color="auto" w:fill="EBF3FB"/>
          </w:tcPr>
          <w:p w14:paraId="17F21EB1">
            <w:pPr>
              <w:spacing w:before="40" w:after="40" w:line="240" w:lineRule="auto"/>
              <w:jc w:val="center"/>
            </w:pPr>
            <w:r>
              <w:rPr>
                <w:rFonts w:ascii="Times New Roman" w:hAnsi="Times New Roman" w:eastAsia="宋体"/>
                <w:b w:val="0"/>
                <w:i w:val="0"/>
                <w:sz w:val="21"/>
              </w:rPr>
              <w:t>—</w:t>
            </w:r>
          </w:p>
        </w:tc>
        <w:tc>
          <w:tcPr>
            <w:tcW w:w="2929" w:type="dxa"/>
            <w:shd w:val="clear" w:color="auto" w:fill="EBF3FB"/>
          </w:tcPr>
          <w:p w14:paraId="49072D13">
            <w:pPr>
              <w:spacing w:before="40" w:after="40" w:line="240" w:lineRule="auto"/>
              <w:jc w:val="center"/>
            </w:pPr>
            <w:r>
              <w:rPr>
                <w:rFonts w:ascii="Times New Roman" w:hAnsi="Times New Roman" w:eastAsia="宋体"/>
                <w:b w:val="0"/>
                <w:i w:val="0"/>
                <w:sz w:val="21"/>
              </w:rPr>
              <w:t>✓ feColorMatrix</w:t>
            </w:r>
          </w:p>
        </w:tc>
      </w:tr>
      <w:tr w14:paraId="14690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FFFFFF"/>
          </w:tcPr>
          <w:p w14:paraId="65A0BB83">
            <w:pPr>
              <w:spacing w:before="40" w:after="40" w:line="240" w:lineRule="auto"/>
              <w:jc w:val="left"/>
            </w:pPr>
            <w:r>
              <w:rPr>
                <w:rFonts w:ascii="Times New Roman" w:hAnsi="Times New Roman" w:eastAsia="宋体"/>
                <w:b w:val="0"/>
                <w:i w:val="0"/>
                <w:sz w:val="21"/>
              </w:rPr>
              <w:t>右键菜单快捷入口</w:t>
            </w:r>
          </w:p>
        </w:tc>
        <w:tc>
          <w:tcPr>
            <w:tcW w:w="2929" w:type="dxa"/>
            <w:shd w:val="clear" w:color="auto" w:fill="FFFFFF"/>
          </w:tcPr>
          <w:p w14:paraId="2A4C67F6">
            <w:pPr>
              <w:spacing w:before="40" w:after="40" w:line="240" w:lineRule="auto"/>
              <w:jc w:val="center"/>
            </w:pPr>
            <w:r>
              <w:rPr>
                <w:rFonts w:ascii="Times New Roman" w:hAnsi="Times New Roman" w:eastAsia="宋体"/>
                <w:b w:val="0"/>
                <w:i w:val="0"/>
                <w:sz w:val="21"/>
              </w:rPr>
              <w:t>—</w:t>
            </w:r>
          </w:p>
        </w:tc>
        <w:tc>
          <w:tcPr>
            <w:tcW w:w="2929" w:type="dxa"/>
            <w:shd w:val="clear" w:color="auto" w:fill="FFFFFF"/>
          </w:tcPr>
          <w:p w14:paraId="44AA53BD">
            <w:pPr>
              <w:spacing w:before="40" w:after="40" w:line="240" w:lineRule="auto"/>
              <w:jc w:val="center"/>
            </w:pPr>
            <w:r>
              <w:rPr>
                <w:rFonts w:ascii="Times New Roman" w:hAnsi="Times New Roman" w:eastAsia="宋体"/>
                <w:b w:val="0"/>
                <w:i w:val="0"/>
                <w:sz w:val="21"/>
              </w:rPr>
              <w:t>✓ 2 个菜单项</w:t>
            </w:r>
          </w:p>
        </w:tc>
      </w:tr>
      <w:tr w14:paraId="25593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BF3FB"/>
          </w:tcPr>
          <w:p w14:paraId="2BFE3006">
            <w:pPr>
              <w:spacing w:before="40" w:after="40" w:line="240" w:lineRule="auto"/>
              <w:jc w:val="left"/>
            </w:pPr>
            <w:r>
              <w:rPr>
                <w:rFonts w:ascii="Times New Roman" w:hAnsi="Times New Roman" w:eastAsia="宋体"/>
                <w:b w:val="0"/>
                <w:i w:val="0"/>
                <w:sz w:val="21"/>
              </w:rPr>
              <w:t>响应式布局（移动端）</w:t>
            </w:r>
          </w:p>
        </w:tc>
        <w:tc>
          <w:tcPr>
            <w:tcW w:w="2929" w:type="dxa"/>
            <w:shd w:val="clear" w:color="auto" w:fill="EBF3FB"/>
          </w:tcPr>
          <w:p w14:paraId="31F201D7">
            <w:pPr>
              <w:spacing w:before="40" w:after="40" w:line="240" w:lineRule="auto"/>
              <w:jc w:val="center"/>
            </w:pPr>
            <w:r>
              <w:rPr>
                <w:rFonts w:ascii="Times New Roman" w:hAnsi="Times New Roman" w:eastAsia="宋体"/>
                <w:b w:val="0"/>
                <w:i w:val="0"/>
                <w:sz w:val="21"/>
              </w:rPr>
              <w:t>✓ 基本适配</w:t>
            </w:r>
          </w:p>
        </w:tc>
        <w:tc>
          <w:tcPr>
            <w:tcW w:w="2929" w:type="dxa"/>
            <w:shd w:val="clear" w:color="auto" w:fill="EBF3FB"/>
          </w:tcPr>
          <w:p w14:paraId="70E6DB29">
            <w:pPr>
              <w:spacing w:before="40" w:after="40" w:line="240" w:lineRule="auto"/>
              <w:jc w:val="center"/>
            </w:pPr>
            <w:r>
              <w:rPr>
                <w:rFonts w:ascii="Times New Roman" w:hAnsi="Times New Roman" w:eastAsia="宋体"/>
                <w:b w:val="0"/>
                <w:i w:val="0"/>
                <w:sz w:val="21"/>
              </w:rPr>
              <w:t>部分（弹窗）</w:t>
            </w:r>
          </w:p>
        </w:tc>
      </w:tr>
      <w:tr w14:paraId="11F13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FFFFFF"/>
          </w:tcPr>
          <w:p w14:paraId="2E2F4FCB">
            <w:pPr>
              <w:spacing w:before="40" w:after="40" w:line="240" w:lineRule="auto"/>
              <w:jc w:val="left"/>
            </w:pPr>
            <w:r>
              <w:rPr>
                <w:rFonts w:ascii="Times New Roman" w:hAnsi="Times New Roman" w:eastAsia="宋体"/>
                <w:b w:val="0"/>
                <w:i w:val="0"/>
                <w:sz w:val="21"/>
              </w:rPr>
              <w:t>localStorage 偏好存储</w:t>
            </w:r>
          </w:p>
        </w:tc>
        <w:tc>
          <w:tcPr>
            <w:tcW w:w="2929" w:type="dxa"/>
            <w:shd w:val="clear" w:color="auto" w:fill="FFFFFF"/>
          </w:tcPr>
          <w:p w14:paraId="2DAFB6A6">
            <w:pPr>
              <w:spacing w:before="40" w:after="40" w:line="240" w:lineRule="auto"/>
              <w:jc w:val="center"/>
            </w:pPr>
            <w:r>
              <w:rPr>
                <w:rFonts w:ascii="Times New Roman" w:hAnsi="Times New Roman" w:eastAsia="宋体"/>
                <w:b w:val="0"/>
                <w:i w:val="0"/>
                <w:sz w:val="21"/>
              </w:rPr>
              <w:t>✓</w:t>
            </w:r>
          </w:p>
        </w:tc>
        <w:tc>
          <w:tcPr>
            <w:tcW w:w="2929" w:type="dxa"/>
            <w:shd w:val="clear" w:color="auto" w:fill="FFFFFF"/>
          </w:tcPr>
          <w:p w14:paraId="102CB810">
            <w:pPr>
              <w:spacing w:before="40" w:after="40" w:line="240" w:lineRule="auto"/>
              <w:jc w:val="center"/>
            </w:pPr>
            <w:r>
              <w:rPr>
                <w:rFonts w:ascii="Times New Roman" w:hAnsi="Times New Roman" w:eastAsia="宋体"/>
                <w:b w:val="0"/>
                <w:i w:val="0"/>
                <w:sz w:val="21"/>
              </w:rPr>
              <w:t>—</w:t>
            </w:r>
          </w:p>
        </w:tc>
      </w:tr>
      <w:tr w14:paraId="3606A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BF3FB"/>
          </w:tcPr>
          <w:p w14:paraId="6E245C0F">
            <w:pPr>
              <w:spacing w:before="40" w:after="40" w:line="240" w:lineRule="auto"/>
              <w:jc w:val="left"/>
            </w:pPr>
            <w:r>
              <w:rPr>
                <w:rFonts w:ascii="Times New Roman" w:hAnsi="Times New Roman" w:eastAsia="宋体"/>
                <w:b w:val="0"/>
                <w:i w:val="0"/>
                <w:sz w:val="21"/>
              </w:rPr>
              <w:t>中文界面</w:t>
            </w:r>
          </w:p>
        </w:tc>
        <w:tc>
          <w:tcPr>
            <w:tcW w:w="2929" w:type="dxa"/>
            <w:shd w:val="clear" w:color="auto" w:fill="EBF3FB"/>
          </w:tcPr>
          <w:p w14:paraId="3CD019DF">
            <w:pPr>
              <w:spacing w:before="40" w:after="40" w:line="240" w:lineRule="auto"/>
              <w:jc w:val="center"/>
            </w:pPr>
            <w:r>
              <w:rPr>
                <w:rFonts w:ascii="Times New Roman" w:hAnsi="Times New Roman" w:eastAsia="宋体"/>
                <w:b w:val="0"/>
                <w:i w:val="0"/>
                <w:sz w:val="21"/>
              </w:rPr>
              <w:t>✓</w:t>
            </w:r>
          </w:p>
        </w:tc>
        <w:tc>
          <w:tcPr>
            <w:tcW w:w="2929" w:type="dxa"/>
            <w:shd w:val="clear" w:color="auto" w:fill="EBF3FB"/>
          </w:tcPr>
          <w:p w14:paraId="2D11316F">
            <w:pPr>
              <w:spacing w:before="40" w:after="40" w:line="240" w:lineRule="auto"/>
              <w:jc w:val="center"/>
            </w:pPr>
            <w:r>
              <w:rPr>
                <w:rFonts w:ascii="Times New Roman" w:hAnsi="Times New Roman" w:eastAsia="宋体"/>
                <w:b w:val="0"/>
                <w:i w:val="0"/>
                <w:sz w:val="21"/>
              </w:rPr>
              <w:t>✓</w:t>
            </w:r>
          </w:p>
        </w:tc>
      </w:tr>
    </w:tbl>
    <w:p w14:paraId="2C0B8DDA"/>
    <w:p w14:paraId="6CC02EEE">
      <w:pPr>
        <w:spacing w:before="200" w:after="80"/>
        <w:jc w:val="left"/>
      </w:pPr>
      <w:r>
        <w:rPr>
          <w:rFonts w:ascii="Arial" w:hAnsi="Arial" w:eastAsia="黑体"/>
          <w:b/>
          <w:i w:val="0"/>
          <w:sz w:val="26"/>
        </w:rPr>
        <w:t>4.2  未实现 / 待改进功能</w:t>
      </w:r>
    </w:p>
    <w:p w14:paraId="38365D0D">
      <w:pPr>
        <w:spacing w:before="0" w:after="60"/>
        <w:ind w:left="480"/>
        <w:jc w:val="both"/>
      </w:pPr>
      <w:r>
        <w:rPr>
          <w:rFonts w:ascii="Times New Roman" w:hAnsi="Times New Roman" w:eastAsia="宋体"/>
          <w:b w:val="0"/>
          <w:i w:val="0"/>
          <w:sz w:val="24"/>
        </w:rPr>
        <w:t>•  个性化 CVD 严重程度滑块（Severity Slider）：提案中规划了允许用户通过滑块动态调节模拟严重程度（从轻度色弱到完全色盲）的交互组件，当前版本采用固定参数（severity=0.6）代替，未实现动态调节 UI。</w:t>
      </w:r>
    </w:p>
    <w:p w14:paraId="0379F58B">
      <w:pPr>
        <w:spacing w:before="0" w:after="60"/>
        <w:ind w:left="480"/>
        <w:jc w:val="both"/>
      </w:pPr>
      <w:r>
        <w:rPr>
          <w:rFonts w:ascii="Times New Roman" w:hAnsi="Times New Roman" w:eastAsia="宋体"/>
          <w:b w:val="0"/>
          <w:i w:val="0"/>
          <w:sz w:val="24"/>
        </w:rPr>
        <w:t>•  移动端充分适配测试：网页版已做基础响应式布局，但未在真实手机设备上进行系统化可用性测试，触控交互（如拾色点击精度）有待进一步优化。</w:t>
      </w:r>
    </w:p>
    <w:p w14:paraId="4F1B1010">
      <w:pPr>
        <w:spacing w:before="0" w:after="60"/>
        <w:ind w:left="480"/>
        <w:jc w:val="both"/>
      </w:pPr>
      <w:r>
        <w:rPr>
          <w:rFonts w:ascii="Times New Roman" w:hAnsi="Times New Roman" w:eastAsia="宋体"/>
          <w:b w:val="0"/>
          <w:i w:val="0"/>
          <w:sz w:val="24"/>
        </w:rPr>
        <w:t>•  颜色建议一键替换：当对比度不足时，工具可进一步提供一键替换为满足 AA 标准的最近色功能，目前仅给出文字方向性建议，需用户自行调整颜色值。</w:t>
      </w:r>
    </w:p>
    <w:p w14:paraId="3198C4CE">
      <w:pPr>
        <w:spacing w:before="0" w:after="60"/>
        <w:ind w:left="480"/>
        <w:jc w:val="both"/>
      </w:pPr>
      <w:r>
        <w:rPr>
          <w:rFonts w:ascii="Times New Roman" w:hAnsi="Times New Roman" w:eastAsia="宋体"/>
          <w:b w:val="0"/>
          <w:i w:val="0"/>
          <w:sz w:val="24"/>
        </w:rPr>
        <w:t>•  Chrome Web Store / Firefox AMO 正式上架：扩展当前处于本地加载测试阶段，正式上架流程（唯一 ID 申请、商店审核提交）尚未启动。</w:t>
      </w:r>
    </w:p>
    <w:p w14:paraId="41C122D9">
      <w:r>
        <w:br w:type="page"/>
      </w:r>
    </w:p>
    <w:p w14:paraId="381140C5">
      <w:pPr>
        <w:spacing w:before="0" w:after="120"/>
        <w:jc w:val="left"/>
      </w:pPr>
      <w:r>
        <w:rPr>
          <w:rFonts w:ascii="Arial" w:hAnsi="Arial" w:eastAsia="黑体"/>
          <w:b/>
          <w:i w:val="0"/>
          <w:sz w:val="30"/>
        </w:rPr>
        <w:t>五、用户测试计划</w:t>
      </w:r>
    </w:p>
    <w:p w14:paraId="418BFB35">
      <w:pPr>
        <w:spacing w:before="200" w:after="80"/>
        <w:jc w:val="left"/>
      </w:pPr>
      <w:r>
        <w:rPr>
          <w:rFonts w:ascii="Arial" w:hAnsi="Arial" w:eastAsia="黑体"/>
          <w:b/>
          <w:i w:val="0"/>
          <w:sz w:val="26"/>
        </w:rPr>
        <w:t>5.1  测试方法与招募</w:t>
      </w:r>
    </w:p>
    <w:p w14:paraId="5BB62C19">
      <w:pPr>
        <w:spacing w:before="0" w:after="120"/>
        <w:ind w:firstLine="480"/>
        <w:jc w:val="both"/>
      </w:pPr>
      <w:r>
        <w:rPr>
          <w:rFonts w:ascii="Times New Roman" w:hAnsi="Times New Roman" w:eastAsia="宋体"/>
          <w:b w:val="0"/>
          <w:i w:val="0"/>
          <w:sz w:val="24"/>
        </w:rPr>
        <w:t>本项目采用出声思考法（Think-Aloud Protocol）进行可用性测试，要求参与者在完成任务时将思路和感受大声说出，以便收集定性的认知过程数据。</w:t>
      </w:r>
    </w:p>
    <w:p w14:paraId="4C395910">
      <w:pPr>
        <w:spacing w:before="0" w:after="120"/>
        <w:ind w:firstLine="480"/>
        <w:jc w:val="both"/>
      </w:pPr>
      <w:r>
        <w:rPr>
          <w:rFonts w:ascii="Times New Roman" w:hAnsi="Times New Roman" w:eastAsia="宋体"/>
          <w:b w:val="0"/>
          <w:i w:val="0"/>
          <w:sz w:val="24"/>
        </w:rPr>
        <w:t>计划招募 8–10 名目标用户，招募渠道为校内社交媒体群组和课程 QQ/微信群。入选标准：在校本科生或研究生；有 PPT 制作经验；无专业设计背景；无色盲/色弱（确保能评价模拟画面逼真度）。另计划邀请 1–2 名色觉缺陷者参与测试，以获取真实用户对模拟准确性的反馈。</w:t>
      </w:r>
    </w:p>
    <w:p w14:paraId="0915E015">
      <w:pPr>
        <w:spacing w:before="200" w:after="80"/>
        <w:jc w:val="left"/>
      </w:pPr>
      <w:r>
        <w:rPr>
          <w:rFonts w:ascii="Arial" w:hAnsi="Arial" w:eastAsia="黑体"/>
          <w:b/>
          <w:i w:val="0"/>
          <w:sz w:val="26"/>
        </w:rPr>
        <w:t>5.2  测试任务</w:t>
      </w:r>
    </w:p>
    <w:p w14:paraId="45EB2DA4">
      <w:pPr>
        <w:spacing w:before="0" w:after="120"/>
        <w:ind w:firstLine="480"/>
        <w:jc w:val="both"/>
      </w:pPr>
      <w:r>
        <w:rPr>
          <w:rFonts w:ascii="Times New Roman" w:hAnsi="Times New Roman" w:eastAsia="宋体"/>
          <w:b w:val="0"/>
          <w:i w:val="0"/>
          <w:sz w:val="24"/>
        </w:rPr>
        <w:t>测试任务共 7 项，覆盖网页版和扩展版的核心功能路径：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2"/>
        <w:gridCol w:w="5462"/>
      </w:tblGrid>
      <w:tr w14:paraId="6F2B0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4472C4"/>
          </w:tcPr>
          <w:p w14:paraId="4DE38A3A">
            <w:pPr>
              <w:spacing w:after="0" w:line="240" w:lineRule="auto"/>
              <w:jc w:val="center"/>
            </w:pPr>
            <w:r>
              <w:rPr>
                <w:rFonts w:ascii="Arial" w:hAnsi="Arial" w:eastAsia="黑体"/>
                <w:b/>
                <w:i w:val="0"/>
                <w:color w:val="FFFFFF"/>
                <w:sz w:val="22"/>
              </w:rPr>
              <w:t>任务编号</w:t>
            </w:r>
          </w:p>
        </w:tc>
        <w:tc>
          <w:tcPr>
            <w:tcW w:w="6633" w:type="dxa"/>
            <w:shd w:val="clear" w:color="auto" w:fill="4472C4"/>
          </w:tcPr>
          <w:p w14:paraId="0FAD2A6A">
            <w:pPr>
              <w:spacing w:after="0" w:line="240" w:lineRule="auto"/>
              <w:jc w:val="center"/>
            </w:pPr>
            <w:r>
              <w:rPr>
                <w:rFonts w:ascii="Arial" w:hAnsi="Arial" w:eastAsia="黑体"/>
                <w:b/>
                <w:i w:val="0"/>
                <w:color w:val="FFFFFF"/>
                <w:sz w:val="22"/>
              </w:rPr>
              <w:t>任务描述</w:t>
            </w:r>
          </w:p>
        </w:tc>
      </w:tr>
      <w:tr w14:paraId="67F8B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BF3FB"/>
          </w:tcPr>
          <w:p w14:paraId="548483A9">
            <w:pPr>
              <w:spacing w:before="40" w:after="40" w:line="240" w:lineRule="auto"/>
              <w:jc w:val="center"/>
            </w:pPr>
            <w:r>
              <w:rPr>
                <w:rFonts w:ascii="Times New Roman" w:hAnsi="Times New Roman" w:eastAsia="宋体"/>
                <w:b/>
                <w:i w:val="0"/>
                <w:sz w:val="22"/>
              </w:rPr>
              <w:t>任务 1</w:t>
            </w:r>
          </w:p>
        </w:tc>
        <w:tc>
          <w:tcPr>
            <w:tcW w:w="4394" w:type="dxa"/>
            <w:shd w:val="clear" w:color="auto" w:fill="EBF3FB"/>
          </w:tcPr>
          <w:p w14:paraId="11A15D73">
            <w:pPr>
              <w:spacing w:before="40" w:after="40" w:line="240" w:lineRule="auto"/>
              <w:jc w:val="left"/>
            </w:pPr>
            <w:r>
              <w:rPr>
                <w:rFonts w:ascii="Times New Roman" w:hAnsi="Times New Roman" w:eastAsia="宋体"/>
                <w:b w:val="0"/>
                <w:i w:val="0"/>
                <w:sz w:val="21"/>
              </w:rPr>
              <w:t>上传一张自己制作的 PPT 截图，切换至 Deuteranopia（绿色盲）模拟，口头描述与原图的视觉差异。</w:t>
            </w:r>
          </w:p>
        </w:tc>
      </w:tr>
      <w:tr w14:paraId="061A8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FFFFFF"/>
          </w:tcPr>
          <w:p w14:paraId="7C68CC7D">
            <w:pPr>
              <w:spacing w:before="40" w:after="40" w:line="240" w:lineRule="auto"/>
              <w:jc w:val="center"/>
            </w:pPr>
            <w:r>
              <w:rPr>
                <w:rFonts w:ascii="Times New Roman" w:hAnsi="Times New Roman" w:eastAsia="宋体"/>
                <w:b/>
                <w:i w:val="0"/>
                <w:sz w:val="22"/>
              </w:rPr>
              <w:t>任务 2</w:t>
            </w:r>
          </w:p>
        </w:tc>
        <w:tc>
          <w:tcPr>
            <w:tcW w:w="4394" w:type="dxa"/>
            <w:shd w:val="clear" w:color="auto" w:fill="FFFFFF"/>
          </w:tcPr>
          <w:p w14:paraId="7E9EB5B7">
            <w:pPr>
              <w:spacing w:before="40" w:after="40" w:line="240" w:lineRule="auto"/>
              <w:jc w:val="left"/>
            </w:pPr>
            <w:r>
              <w:rPr>
                <w:rFonts w:ascii="Times New Roman" w:hAnsi="Times New Roman" w:eastAsia="宋体"/>
                <w:b w:val="0"/>
                <w:i w:val="0"/>
                <w:sz w:val="21"/>
              </w:rPr>
              <w:t>依次切换 Protanopia、Tritanopia、Achromatopsia 三种 CVD 类型，对比视觉差异并判断哪种类型对自己图表的影响最大。</w:t>
            </w:r>
          </w:p>
        </w:tc>
      </w:tr>
      <w:tr w14:paraId="28FC8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BF3FB"/>
          </w:tcPr>
          <w:p w14:paraId="2FC369FD">
            <w:pPr>
              <w:spacing w:before="40" w:after="40" w:line="240" w:lineRule="auto"/>
              <w:jc w:val="center"/>
            </w:pPr>
            <w:r>
              <w:rPr>
                <w:rFonts w:ascii="Times New Roman" w:hAnsi="Times New Roman" w:eastAsia="宋体"/>
                <w:b/>
                <w:i w:val="0"/>
                <w:sz w:val="22"/>
              </w:rPr>
              <w:t>任务 3</w:t>
            </w:r>
          </w:p>
        </w:tc>
        <w:tc>
          <w:tcPr>
            <w:tcW w:w="4394" w:type="dxa"/>
            <w:shd w:val="clear" w:color="auto" w:fill="EBF3FB"/>
          </w:tcPr>
          <w:p w14:paraId="7B29E732">
            <w:pPr>
              <w:spacing w:before="40" w:after="40" w:line="240" w:lineRule="auto"/>
              <w:jc w:val="left"/>
            </w:pPr>
            <w:r>
              <w:rPr>
                <w:rFonts w:ascii="Times New Roman" w:hAnsi="Times New Roman" w:eastAsia="宋体"/>
                <w:b w:val="0"/>
                <w:i w:val="0"/>
                <w:sz w:val="21"/>
              </w:rPr>
              <w:t>使用颜色拾取器从图片中采样文字色与背景色，查看对比度检测结果并判断是否通过 WCAG AA 标准。</w:t>
            </w:r>
          </w:p>
        </w:tc>
      </w:tr>
      <w:tr w14:paraId="7193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FFFFFF"/>
          </w:tcPr>
          <w:p w14:paraId="1158DA5B">
            <w:pPr>
              <w:spacing w:before="40" w:after="40" w:line="240" w:lineRule="auto"/>
              <w:jc w:val="center"/>
            </w:pPr>
            <w:r>
              <w:rPr>
                <w:rFonts w:ascii="Times New Roman" w:hAnsi="Times New Roman" w:eastAsia="宋体"/>
                <w:b/>
                <w:i w:val="0"/>
                <w:sz w:val="22"/>
              </w:rPr>
              <w:t>任务 4</w:t>
            </w:r>
          </w:p>
        </w:tc>
        <w:tc>
          <w:tcPr>
            <w:tcW w:w="4394" w:type="dxa"/>
            <w:shd w:val="clear" w:color="auto" w:fill="FFFFFF"/>
          </w:tcPr>
          <w:p w14:paraId="44F5690C">
            <w:pPr>
              <w:spacing w:before="40" w:after="40" w:line="240" w:lineRule="auto"/>
              <w:jc w:val="left"/>
            </w:pPr>
            <w:r>
              <w:rPr>
                <w:rFonts w:ascii="Times New Roman" w:hAnsi="Times New Roman" w:eastAsia="宋体"/>
                <w:b w:val="0"/>
                <w:i w:val="0"/>
                <w:sz w:val="21"/>
              </w:rPr>
              <w:t>根据系统给出的量化改进建议，调整颜色直至对比度通过 AA 标准，记录调整次数与耗时。</w:t>
            </w:r>
          </w:p>
        </w:tc>
      </w:tr>
      <w:tr w14:paraId="0575B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BF3FB"/>
          </w:tcPr>
          <w:p w14:paraId="089391DF">
            <w:pPr>
              <w:spacing w:before="40" w:after="40" w:line="240" w:lineRule="auto"/>
              <w:jc w:val="center"/>
            </w:pPr>
            <w:r>
              <w:rPr>
                <w:rFonts w:ascii="Times New Roman" w:hAnsi="Times New Roman" w:eastAsia="宋体"/>
                <w:b/>
                <w:i w:val="0"/>
                <w:sz w:val="22"/>
              </w:rPr>
              <w:t>任务 5</w:t>
            </w:r>
            <w:r>
              <w:rPr>
                <w:rFonts w:ascii="Times New Roman" w:hAnsi="Times New Roman" w:eastAsia="宋体"/>
                <w:b/>
                <w:i w:val="0"/>
                <w:sz w:val="22"/>
              </w:rPr>
              <w:br w:type="textWrapping"/>
            </w:r>
            <w:r>
              <w:rPr>
                <w:rFonts w:ascii="Times New Roman" w:hAnsi="Times New Roman" w:eastAsia="宋体"/>
                <w:b/>
                <w:i w:val="0"/>
                <w:sz w:val="22"/>
              </w:rPr>
              <w:t>（扩展版）</w:t>
            </w:r>
          </w:p>
        </w:tc>
        <w:tc>
          <w:tcPr>
            <w:tcW w:w="4394" w:type="dxa"/>
            <w:shd w:val="clear" w:color="auto" w:fill="EBF3FB"/>
          </w:tcPr>
          <w:p w14:paraId="409B0FAA">
            <w:pPr>
              <w:spacing w:before="40" w:after="40" w:line="240" w:lineRule="auto"/>
              <w:jc w:val="left"/>
            </w:pPr>
            <w:r>
              <w:rPr>
                <w:rFonts w:ascii="Times New Roman" w:hAnsi="Times New Roman" w:eastAsia="宋体"/>
                <w:b w:val="0"/>
                <w:i w:val="0"/>
                <w:sz w:val="21"/>
              </w:rPr>
              <w:t>在浏览器中打开任意网页，点击悬浮球激活侧栏面板，使用截图模式截取页面并切换至 Deuteranopia 模拟，在截图上点击拾取两个颜色进行对比度检测。</w:t>
            </w:r>
          </w:p>
        </w:tc>
      </w:tr>
      <w:tr w14:paraId="7F422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FFFFFF"/>
          </w:tcPr>
          <w:p w14:paraId="7F5328E6">
            <w:pPr>
              <w:spacing w:before="40" w:after="40" w:line="240" w:lineRule="auto"/>
              <w:jc w:val="center"/>
            </w:pPr>
            <w:r>
              <w:rPr>
                <w:rFonts w:ascii="Times New Roman" w:hAnsi="Times New Roman" w:eastAsia="宋体"/>
                <w:b/>
                <w:i w:val="0"/>
                <w:sz w:val="22"/>
              </w:rPr>
              <w:t>任务 6</w:t>
            </w:r>
            <w:r>
              <w:rPr>
                <w:rFonts w:ascii="Times New Roman" w:hAnsi="Times New Roman" w:eastAsia="宋体"/>
                <w:b/>
                <w:i w:val="0"/>
                <w:sz w:val="22"/>
              </w:rPr>
              <w:br w:type="textWrapping"/>
            </w:r>
            <w:r>
              <w:rPr>
                <w:rFonts w:ascii="Times New Roman" w:hAnsi="Times New Roman" w:eastAsia="宋体"/>
                <w:b/>
                <w:i w:val="0"/>
                <w:sz w:val="22"/>
              </w:rPr>
              <w:t>（扩展版）</w:t>
            </w:r>
          </w:p>
        </w:tc>
        <w:tc>
          <w:tcPr>
            <w:tcW w:w="4394" w:type="dxa"/>
            <w:shd w:val="clear" w:color="auto" w:fill="FFFFFF"/>
          </w:tcPr>
          <w:p w14:paraId="4BBB4A6B">
            <w:pPr>
              <w:spacing w:before="40" w:after="40" w:line="240" w:lineRule="auto"/>
              <w:jc w:val="left"/>
            </w:pPr>
            <w:r>
              <w:rPr>
                <w:rFonts w:ascii="Times New Roman" w:hAnsi="Times New Roman" w:eastAsia="宋体"/>
                <w:b w:val="0"/>
                <w:i w:val="0"/>
                <w:sz w:val="21"/>
              </w:rPr>
              <w:t>切换至实时模式，观察 SVG 滤镜与 Brettel 截图模式的视觉差异，用语言描述两种模式各自的适用场景。</w:t>
            </w:r>
          </w:p>
        </w:tc>
      </w:tr>
      <w:tr w14:paraId="5B88A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BF3FB"/>
          </w:tcPr>
          <w:p w14:paraId="4B11E911">
            <w:pPr>
              <w:spacing w:before="40" w:after="40" w:line="240" w:lineRule="auto"/>
              <w:jc w:val="center"/>
            </w:pPr>
            <w:r>
              <w:rPr>
                <w:rFonts w:ascii="Times New Roman" w:hAnsi="Times New Roman" w:eastAsia="宋体"/>
                <w:b/>
                <w:i w:val="0"/>
                <w:sz w:val="22"/>
              </w:rPr>
              <w:t>任务 7</w:t>
            </w:r>
            <w:r>
              <w:rPr>
                <w:rFonts w:ascii="Times New Roman" w:hAnsi="Times New Roman" w:eastAsia="宋体"/>
                <w:b/>
                <w:i w:val="0"/>
                <w:sz w:val="22"/>
              </w:rPr>
              <w:br w:type="textWrapping"/>
            </w:r>
            <w:r>
              <w:rPr>
                <w:rFonts w:ascii="Times New Roman" w:hAnsi="Times New Roman" w:eastAsia="宋体"/>
                <w:b/>
                <w:i w:val="0"/>
                <w:sz w:val="22"/>
              </w:rPr>
              <w:t>（扩展版）</w:t>
            </w:r>
          </w:p>
        </w:tc>
        <w:tc>
          <w:tcPr>
            <w:tcW w:w="4394" w:type="dxa"/>
            <w:shd w:val="clear" w:color="auto" w:fill="EBF3FB"/>
          </w:tcPr>
          <w:p w14:paraId="6253C345">
            <w:pPr>
              <w:spacing w:before="40" w:after="40" w:line="240" w:lineRule="auto"/>
              <w:jc w:val="left"/>
            </w:pPr>
            <w:r>
              <w:rPr>
                <w:rFonts w:ascii="Times New Roman" w:hAnsi="Times New Roman" w:eastAsia="宋体"/>
                <w:b w:val="0"/>
                <w:i w:val="0"/>
                <w:sz w:val="21"/>
              </w:rPr>
              <w:t>使用键盘快捷键 1–6 在六种 CVD 类型之间快速切换，评估快捷键的易发现性与使用便捷度。</w:t>
            </w:r>
          </w:p>
        </w:tc>
      </w:tr>
    </w:tbl>
    <w:p w14:paraId="1876A85B"/>
    <w:p w14:paraId="0C7D6EBF">
      <w:pPr>
        <w:spacing w:before="200" w:after="80"/>
        <w:jc w:val="left"/>
      </w:pPr>
      <w:r>
        <w:rPr>
          <w:rFonts w:ascii="Arial" w:hAnsi="Arial" w:eastAsia="黑体"/>
          <w:b/>
          <w:i w:val="0"/>
          <w:sz w:val="26"/>
        </w:rPr>
        <w:t>5.3  评估指标</w:t>
      </w:r>
    </w:p>
    <w:p w14:paraId="675042EE">
      <w:pPr>
        <w:spacing w:before="0" w:after="120"/>
        <w:ind w:firstLine="480"/>
        <w:jc w:val="both"/>
      </w:pPr>
      <w:r>
        <w:rPr>
          <w:rFonts w:ascii="Times New Roman" w:hAnsi="Times New Roman" w:eastAsia="宋体"/>
          <w:b w:val="0"/>
          <w:i w:val="0"/>
          <w:sz w:val="24"/>
        </w:rPr>
        <w:t>定量指标：每项任务的完成时间与成功率（0=未完成，1=完成但需帮助，2=独立完成）。定性指标：出声思考记录中出现的困惑点与正向反馈。主观满意度：测试后采集 SUS（System Usability Scale）10 题量表评分，目标平均分不低于 70 分（Good 级别）。</w:t>
      </w:r>
    </w:p>
    <w:p w14:paraId="719DE9CA">
      <w:pPr>
        <w:spacing w:before="320" w:after="120"/>
        <w:jc w:val="left"/>
      </w:pPr>
      <w:r>
        <w:rPr>
          <w:rFonts w:ascii="Arial" w:hAnsi="Arial" w:eastAsia="黑体"/>
          <w:b/>
          <w:i w:val="0"/>
          <w:sz w:val="28"/>
        </w:rPr>
        <w:t>参考文献</w:t>
      </w:r>
    </w:p>
    <w:p w14:paraId="0FDDAAD7">
      <w:pPr>
        <w:spacing w:before="0" w:after="80"/>
        <w:ind w:left="480" w:hanging="480"/>
        <w:jc w:val="both"/>
      </w:pPr>
      <w:r>
        <w:rPr>
          <w:rFonts w:ascii="Times New Roman" w:hAnsi="Times New Roman" w:eastAsia="宋体"/>
          <w:b w:val="0"/>
          <w:i w:val="0"/>
          <w:sz w:val="22"/>
        </w:rPr>
        <w:t>[1] Angerbauer, K., Rodrigues, N., Cakmak, S., et al. (2022). Accessibility for Color Vision Deficiencies: Challenges and Findings of a Large Scale Study on Paper Figures. Proceedings of CHI '22, Article 135. ACM. https://doi.org/10.1145/3491102.3502133</w:t>
      </w:r>
    </w:p>
    <w:p w14:paraId="3D76262F">
      <w:pPr>
        <w:spacing w:before="0" w:after="80"/>
        <w:ind w:left="480" w:hanging="480"/>
        <w:jc w:val="both"/>
      </w:pPr>
      <w:r>
        <w:rPr>
          <w:rFonts w:ascii="Times New Roman" w:hAnsi="Times New Roman" w:eastAsia="宋体"/>
          <w:b w:val="0"/>
          <w:i w:val="0"/>
          <w:sz w:val="22"/>
        </w:rPr>
        <w:t>[2] Flatla, D. R., &amp; Gutwin, C. (2012). SSMRecolor: Improving Recoloring Tools with Situation-Specific Models of Color Differentiation. Proceedings of CHI '12, 2297-2306. ACM. https://doi.org/10.1145/2207676.2208388</w:t>
      </w:r>
    </w:p>
    <w:p w14:paraId="14CE50AB">
      <w:pPr>
        <w:spacing w:before="0" w:after="80"/>
        <w:ind w:left="480" w:hanging="480"/>
        <w:jc w:val="both"/>
      </w:pPr>
      <w:r>
        <w:rPr>
          <w:rFonts w:ascii="Times New Roman" w:hAnsi="Times New Roman" w:eastAsia="宋体"/>
          <w:b w:val="0"/>
          <w:i w:val="0"/>
          <w:sz w:val="22"/>
        </w:rPr>
        <w:t>[3] Machado, G. M., Oliveira, M. M., &amp; Fernandes, L. A. F. (2009). A Physiologically-based Model for Simulation of Color Vision Deficiency. IEEE TVCG, 15(6), 1291-1298. https://doi.org/10.1109/TVCG.2009.113</w:t>
      </w:r>
    </w:p>
    <w:p w14:paraId="0FF5D3B1">
      <w:pPr>
        <w:spacing w:before="0" w:after="80"/>
        <w:ind w:left="480" w:hanging="480"/>
        <w:jc w:val="both"/>
      </w:pPr>
      <w:r>
        <w:rPr>
          <w:rFonts w:ascii="Times New Roman" w:hAnsi="Times New Roman" w:eastAsia="宋体"/>
          <w:b w:val="0"/>
          <w:i w:val="0"/>
          <w:sz w:val="22"/>
        </w:rPr>
        <w:t>[4] Shneiderman, B., Plaisant, C., Cohen, M., Jacobs, S., Elmqvist, N., &amp; Diakopoulos, N. (2016). Designing the User Interface: Strategies for Effective Human-Computer Interaction (6th ed.). Pearson.</w:t>
      </w:r>
    </w:p>
    <w:p w14:paraId="1F08C149">
      <w:pPr>
        <w:spacing w:before="0" w:after="80"/>
        <w:ind w:left="480" w:hanging="480"/>
        <w:jc w:val="both"/>
      </w:pPr>
      <w:r>
        <w:rPr>
          <w:rFonts w:ascii="Times New Roman" w:hAnsi="Times New Roman" w:eastAsia="宋体"/>
          <w:b w:val="0"/>
          <w:i w:val="0"/>
          <w:sz w:val="22"/>
        </w:rPr>
        <w:t>[5] W3C. (2018). Web Content Accessibility Guidelines (WCAG) 2.1. https://www.w3.org/TR/WCAG21/</w:t>
      </w:r>
    </w:p>
    <w:p w14:paraId="31936ACA">
      <w:pPr>
        <w:spacing w:before="0" w:after="80"/>
        <w:ind w:left="480" w:hanging="480"/>
        <w:jc w:val="both"/>
      </w:pPr>
      <w:r>
        <w:rPr>
          <w:rFonts w:ascii="Times New Roman" w:hAnsi="Times New Roman" w:eastAsia="宋体"/>
          <w:b w:val="0"/>
          <w:i w:val="0"/>
          <w:sz w:val="22"/>
        </w:rPr>
        <w:t>[6] Vienot, F., Brettel, H., &amp; Mollon, J. D. (1999). Digital Video Colourmaps for Checking the Legibility of Displays by Dichromats. Color Research &amp; Application, 24(4), 243-252.</w:t>
      </w:r>
    </w:p>
    <w:p w14:paraId="0042CA98">
      <w:pPr>
        <w:spacing w:before="0" w:after="80"/>
        <w:ind w:left="480" w:hanging="480"/>
        <w:jc w:val="both"/>
      </w:pPr>
      <w:r>
        <w:rPr>
          <w:rFonts w:ascii="Times New Roman" w:hAnsi="Times New Roman" w:eastAsia="宋体"/>
          <w:b w:val="0"/>
          <w:i w:val="0"/>
          <w:sz w:val="22"/>
        </w:rPr>
        <w:t>[7] Brooke, J. (1996). SUS: A quick and dirty usability scale. In P. W. Jordan et al. (Eds.), Usability Evaluation in Industry (pp. 189-194). Taylor &amp; Francis.</w:t>
      </w:r>
    </w:p>
    <w:sectPr>
      <w:headerReference r:id="rId5" w:type="default"/>
      <w:footerReference r:id="rId6" w:type="default"/>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3E156">
    <w:pPr>
      <w:pStyle w:val="24"/>
      <w:jc w:val="center"/>
    </w:pPr>
    <w:r>
      <w:rPr>
        <w:rFonts w:ascii="Times New Roman" w:hAnsi="Times New Roman" w:eastAsia="宋体"/>
        <w:b w:val="0"/>
        <w:i w:val="0"/>
        <w:color w:val="7F7F7F"/>
        <w:sz w:val="20"/>
      </w:rPr>
      <w:t xml:space="preserve">—— </w:t>
    </w:r>
    <w:r>
      <w:fldChar w:fldCharType="begin"/>
    </w:r>
    <w:r>
      <w:instrText xml:space="preserve">PAGE</w:instrText>
    </w:r>
    <w:r>
      <w:fldChar w:fldCharType="end"/>
    </w:r>
    <w:r>
      <w:rPr>
        <w:rFonts w:ascii="Times New Roman" w:hAnsi="Times New Roman" w:eastAsia="宋体"/>
        <w:b w:val="0"/>
        <w:i w:val="0"/>
        <w:color w:val="7F7F7F"/>
        <w:sz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6A6D4">
    <w:pPr>
      <w:pStyle w:val="25"/>
      <w:jc w:val="center"/>
    </w:pPr>
    <w:r>
      <w:rPr>
        <w:rFonts w:ascii="Times New Roman" w:hAnsi="Times New Roman" w:eastAsia="宋体"/>
        <w:b w:val="0"/>
        <w:i w:val="0"/>
        <w:color w:val="7F7F7F"/>
        <w:sz w:val="20"/>
      </w:rPr>
      <w:t>ColorView —— 色盲模拟与对比度检查器  |  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3575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1590</Words>
  <Characters>2163</Characters>
  <Lines>0</Lines>
  <Paragraphs>0</Paragraphs>
  <TotalTime>3</TotalTime>
  <ScaleCrop>false</ScaleCrop>
  <LinksUpToDate>false</LinksUpToDate>
  <CharactersWithSpaces>2428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赵文鹏</cp:lastModifiedBy>
  <dcterms:modified xsi:type="dcterms:W3CDTF">2026-06-02T10:01:01Z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eyJoZGlkIjoiYmU3ZWQ3ODVlOGQ2M2M3ZDdiZWQ4NDU0OWMyNjBjNjkiLCJ1c2VySWQiOiIxNjA5MTIxNTQ0In0=</vt:lpwstr>
  </property>
  <property fmtid="{D5CDD505-2E9C-101B-9397-08002B2CF9AE}" pid="3" name="KSOProductBuildVer">
    <vt:lpwstr>2052-12.1.0.23542</vt:lpwstr>
  </property>
  <property fmtid="{D5CDD505-2E9C-101B-9397-08002B2CF9AE}" pid="4" name="ICV">
    <vt:lpwstr>DBC06966EA694F0B9034215B75CF82E1_12</vt:lpwstr>
  </property>
</Properties>
</file>