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核心实验结果数据表</w:t>
      </w:r>
    </w:p>
    <w:p>
      <w:pPr>
        <w:jc w:val="center"/>
      </w:pPr>
      <w:r>
        <w:t>多智能体进化强化学习综合能源系统优化调度项目</w:t>
        <w:br/>
        <w:t>生成时间：2026-10-27 19:00</w:t>
      </w:r>
    </w:p>
    <w:p>
      <w:pPr>
        <w:spacing w:before="240"/>
      </w:pPr>
      <w:r>
        <w:t>说明：本文档仅保留能够直接支撑论文主要结论的核心实验数据。偏好向量统一按照[成本权重, 碳排放权重] 的顺序书写；成本优先、相对均衡和碳排放优先分别对应[0.8, 0.2]、[0.5, 0.5] 和 [0.2, 0.8]。逐小时、逐代及全部帕累托点等原始明细仍保存在 results 对应目录的 CSV 文件中，不在论文表格中重复罗列。</w:t>
      </w:r>
    </w:p>
    <w:p>
      <w:pPr>
        <w:pStyle w:val="Heading1"/>
        <w:spacing w:after="100"/>
      </w:pPr>
      <w:r>
        <w:t>一、跨算法优化性能</w:t>
      </w:r>
    </w:p>
    <w:p>
      <w:pPr>
        <w:spacing w:after="120"/>
      </w:pPr>
      <w:r>
        <w:t>使用全年8760小时真实数据作为主要比较依据，并以四季典型日结果验证算法在代表性负荷场景下的表现。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黑体"/>
          <w:b/>
          <w:sz w:val="21"/>
        </w:rPr>
        <w:t>表 1  全年跨算法五随机种子性能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方法</w:t>
            </w:r>
          </w:p>
        </w:tc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全年原始超体积均值 CNY乘kgCO2</w:t>
            </w:r>
          </w:p>
        </w:tc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全年原始超体积标准差 CNY乘kgCO2</w:t>
            </w:r>
          </w:p>
        </w:tc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全年归一化IGD均值</w:t>
            </w:r>
          </w:p>
        </w:tc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全年归一化IGD标准差</w:t>
            </w:r>
          </w:p>
        </w:tc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全年归一化稀疏度均值</w:t>
            </w:r>
          </w:p>
        </w:tc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全年帕累托点数均值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当前主方法（全任务 Mean-HV 进化 MADDPG）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4.653355e+14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3.580387e+12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0.0129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0.0026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4.332e-04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99.2000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锚点引导进化 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4.629448e+14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2.218063e+12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0.0153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0.0019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5.825e-04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90.6000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固定权重 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4.622096e+14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2.713440e+12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0.0157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0.0029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6.110e-04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86.6000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固定权重 MATD3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4.542105e+14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4.885759e+12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0.0239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0.0065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6.068e-04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83.0000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固定权重 IPPO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4.226121e+14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2.295312e+12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0.0597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0.0031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8.945e-05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201.2000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固定权重 MAPPO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4.130778e+14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3.864558e+12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0.0723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0.0046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1.405e-04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140.8000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MASAC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3.923508e+14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1.915352e+13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0.1370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0.0468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2.044e-04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97.0000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MOPSO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2.965817e+14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8.632468e+12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0.2776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0.0082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4.583e-05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59.6000</w:t>
            </w:r>
          </w:p>
        </w:tc>
      </w:tr>
    </w:tbl>
    <w:p>
      <w:pPr>
        <w:spacing w:after="100"/>
        <w:jc w:val="left"/>
      </w:pPr>
      <w:r>
        <w:rPr>
          <w:rFonts w:ascii="Times New Roman" w:hAnsi="Times New Roman" w:eastAsia="宋体"/>
          <w:i/>
          <w:sz w:val="15"/>
        </w:rPr>
        <w:t>数据来源：results/01_全年真实数据跨算法对比/表格与说明/年度五随机种子汇总.csv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黑体"/>
          <w:b/>
          <w:sz w:val="21"/>
        </w:rPr>
        <w:t>表 2  全年跨算法合并帕累托前沿指标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方法</w:t>
            </w:r>
          </w:p>
        </w:tc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随机种子数</w:t>
            </w:r>
          </w:p>
        </w:tc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合并前沿帕累托点数</w:t>
            </w:r>
          </w:p>
        </w:tc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合并前沿原始超体积 CNY乘kgCO2</w:t>
            </w:r>
          </w:p>
        </w:tc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合并前沿归一化稀疏度</w:t>
            </w:r>
          </w:p>
        </w:tc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合并前沿超体积排名</w:t>
            </w:r>
          </w:p>
        </w:tc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合并前沿稀疏度排名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当前主方法（全任务 Mean-HV 进化 MADDPG）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181.0000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4.759620e+14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1.249e-04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锚点引导进化 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173.0000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4.739857e+14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1.293e-04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固定权重 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169.0000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4.734898e+14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1.428e-04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固定权重 MATD3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152.0000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4.673108e+14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1.924e-04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固定权重 IPPO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301.0000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4.333951e+14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3.720e-05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固定权重 MAPPO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256.0000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4.241493e+14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4.157e-05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MASAC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138.0000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4.210342e+14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1.667e-04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MOPSO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86.0000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3.118654e+14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3.311e-05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</w:tr>
    </w:tbl>
    <w:p>
      <w:pPr>
        <w:spacing w:after="100"/>
        <w:jc w:val="left"/>
      </w:pPr>
      <w:r>
        <w:rPr>
          <w:rFonts w:ascii="Times New Roman" w:hAnsi="Times New Roman" w:eastAsia="宋体"/>
          <w:i/>
          <w:sz w:val="15"/>
        </w:rPr>
        <w:t>数据来源：results/01_全年真实数据跨算法对比/表格与说明/年度合并前沿指标.csv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黑体"/>
          <w:b/>
          <w:sz w:val="21"/>
        </w:rPr>
        <w:t>表 3  主方法与对比算法的全年配对显著性检验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对比方法</w:t>
            </w:r>
          </w:p>
        </w:tc>
        <w:tc>
          <w:tcPr>
            <w:tcW w:type="dxa" w:w="252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指标</w:t>
            </w:r>
          </w:p>
        </w:tc>
        <w:tc>
          <w:tcPr>
            <w:tcW w:type="dxa" w:w="252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主方法胜出种子数</w:t>
            </w:r>
          </w:p>
        </w:tc>
        <w:tc>
          <w:tcPr>
            <w:tcW w:type="dxa" w:w="252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主方法落后种子数</w:t>
            </w:r>
          </w:p>
        </w:tc>
        <w:tc>
          <w:tcPr>
            <w:tcW w:type="dxa" w:w="252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主方法平均改善量</w:t>
            </w:r>
          </w:p>
        </w:tc>
        <w:tc>
          <w:tcPr>
            <w:tcW w:type="dxa" w:w="252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单侧Wilcoxon检验p值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Anchor-E-MADDPG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全年原始超体积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2.390700e+12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6.250e-02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Anchor-E-MADDPG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全年归一化IGD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0.0024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6.250e-02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MADDPG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全年原始超体积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3.125911e+12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1.562e-01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MADDPG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全年归一化IGD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0.0028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1.562e-01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MAPPO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全年原始超体积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5.225772e+13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3.125e-02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MAPPO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全年归一化IGD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0.0594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3.125e-02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MASAC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全年原始超体积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7.298472e+13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3.125e-02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MASAC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全年归一化IGD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0.1241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3.125e-02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MOPSO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全年原始超体积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1.687539e+14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3.125e-02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MOPSO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全年归一化IGD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0.2647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3.125e-02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MATD3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全年原始超体积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1.112499e+13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3.125e-02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MATD3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全年归一化IGD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0.0110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3.125e-02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IPPO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全年原始超体积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4.272348e+13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3.125e-02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IPPO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全年归一化IGD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0.0469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3.125e-02</w:t>
            </w:r>
          </w:p>
        </w:tc>
      </w:tr>
    </w:tbl>
    <w:p>
      <w:pPr>
        <w:spacing w:after="100"/>
        <w:jc w:val="left"/>
      </w:pPr>
      <w:r>
        <w:rPr>
          <w:rFonts w:ascii="Times New Roman" w:hAnsi="Times New Roman" w:eastAsia="宋体"/>
          <w:i/>
          <w:sz w:val="15"/>
        </w:rPr>
        <w:t>数据来源：results/01_全年真实数据跨算法对比/表格与说明/年度配对显著性检验.csv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黑体"/>
          <w:b/>
          <w:sz w:val="21"/>
        </w:rPr>
        <w:t>表 4  四季典型日跨算法五随机种子性能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blHeader w:val="true"/>
          <w:cantSplit/>
        </w:trPr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方法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原始超体积均值 CNY乘kgCO2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原始超体积标准差 CNY乘kgCO2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归一化IGD均值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归一化IGD标准差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归一化稀疏度均值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帕累托点数均值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最低运行成本均值 CNY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最低碳排放均值 kgCO2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当前主方法（全任务 Mean-HV 进化 MADDPG）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6.203016e+10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633,689,242.01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0.0213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0.0039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9.751e-04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63.8000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238,106.35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38,286.00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锚点引导进化 MADDPG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6.167220e+10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564,115,203.62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0.0250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0.0033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0.0012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59.2000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236,139.16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37,881.26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固定权重 MADDPG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6.149370e+10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408,236,990.17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0.0261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0.0034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0.0013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54.4000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238,577.11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36,967.58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固定权重 MATD3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6.064430e+10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873,731,193.95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0.0296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0.0065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0.0012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56.0000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243,982.08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45,530.68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固定权重 IPPO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5.654766e+10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520,370,496.63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0.0510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0.0050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1.906e-04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138.8000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268,260.81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65,080.44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固定权重 MAPPO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5.600007e+10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307,228,692.68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0.0532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0.0036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2.592e-04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96.8000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280,084.49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69,858.10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MASAC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5.233074e+10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2.787838e+09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0.1151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0.0442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4.448e-04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53.0000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257,135.91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102,388.59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MOPSO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3.947785e+10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1.060641e+09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0.2173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0.0062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1.048e-04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35.8000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368,836.51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120,712.30</w:t>
            </w:r>
          </w:p>
        </w:tc>
      </w:tr>
    </w:tbl>
    <w:p>
      <w:pPr>
        <w:spacing w:after="100"/>
        <w:jc w:val="left"/>
      </w:pPr>
      <w:r>
        <w:rPr>
          <w:rFonts w:ascii="Times New Roman" w:hAnsi="Times New Roman" w:eastAsia="宋体"/>
          <w:i/>
          <w:sz w:val="15"/>
        </w:rPr>
        <w:t>数据来源：results/02_四季典型日跨算法对比/表格与说明/五随机种子汇总.csv</w:t>
      </w:r>
    </w:p>
    <w:p>
      <w:r>
        <w:br w:type="page"/>
      </w:r>
    </w:p>
    <w:p>
      <w:pPr>
        <w:pStyle w:val="Heading1"/>
        <w:spacing w:after="100"/>
      </w:pPr>
      <w:r>
        <w:t>二、主方法调度与园区交易</w:t>
      </w:r>
    </w:p>
    <w:p>
      <w:pPr>
        <w:spacing w:after="120"/>
      </w:pPr>
      <w:r>
        <w:t>选取三种标准偏好的代表性非支配策略，比较四季典型日和三类园区的成本、碳排放及电能交互，并验证约束满足情况。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黑体"/>
          <w:b/>
          <w:sz w:val="21"/>
        </w:rPr>
        <w:t>表 5  三种标准偏好的代表性策略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 w:val="true"/>
          <w:cantSplit/>
        </w:trPr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偏好类型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策略文件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帕累托索引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目标成本权重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目标碳排放权重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成本权重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碳排放权重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权重距离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系统运行成本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系统碳排放量 kgCO2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EP_policy_61.pt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0.8000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0.2000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0.8000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0.2000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435,544.90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118,171.63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EP_policy_71.pt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0.5000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0.5000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0.5714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0.4286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0.1010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482,664.84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92,669.09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EP_policy_94.pt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0.2000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0.8000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0.2000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0.8000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550,926.85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58,936.63</w:t>
            </w:r>
          </w:p>
        </w:tc>
      </w:tr>
    </w:tbl>
    <w:p>
      <w:pPr>
        <w:spacing w:after="100"/>
        <w:jc w:val="left"/>
      </w:pPr>
      <w:r>
        <w:rPr>
          <w:rFonts w:ascii="Times New Roman" w:hAnsi="Times New Roman" w:eastAsia="宋体"/>
          <w:i/>
          <w:sz w:val="15"/>
        </w:rPr>
        <w:t>数据来源：results/03_主方法调度结果/统计表/selected_policies.csv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黑体"/>
          <w:b/>
          <w:sz w:val="21"/>
        </w:rPr>
        <w:t>表 6  三种偏好和四季典型日的系统调度结果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  <w:cantSplit/>
        </w:trPr>
        <w:tc>
          <w:tcPr>
            <w:tcW w:type="dxa" w:w="1376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偏好类型</w:t>
            </w:r>
          </w:p>
        </w:tc>
        <w:tc>
          <w:tcPr>
            <w:tcW w:type="dxa" w:w="1376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典型日</w:t>
            </w:r>
          </w:p>
        </w:tc>
        <w:tc>
          <w:tcPr>
            <w:tcW w:type="dxa" w:w="1376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运行成本</w:t>
            </w:r>
          </w:p>
        </w:tc>
        <w:tc>
          <w:tcPr>
            <w:tcW w:type="dxa" w:w="1376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碳排放量 kgCO2</w:t>
            </w:r>
          </w:p>
        </w:tc>
        <w:tc>
          <w:tcPr>
            <w:tcW w:type="dxa" w:w="1376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园区间成交电量 kWh</w:t>
            </w:r>
          </w:p>
        </w:tc>
        <w:tc>
          <w:tcPr>
            <w:tcW w:type="dxa" w:w="1376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电网购电量 kWh</w:t>
            </w:r>
          </w:p>
        </w:tc>
        <w:tc>
          <w:tcPr>
            <w:tcW w:type="dxa" w:w="1376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电网上网电量 kWh</w:t>
            </w:r>
          </w:p>
        </w:tc>
        <w:tc>
          <w:tcPr>
            <w:tcW w:type="dxa" w:w="1376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碳征费</w:t>
            </w:r>
          </w:p>
        </w:tc>
        <w:tc>
          <w:tcPr>
            <w:tcW w:type="dxa" w:w="1376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碳红利</w:t>
            </w:r>
          </w:p>
        </w:tc>
        <w:tc>
          <w:tcPr>
            <w:tcW w:type="dxa" w:w="1376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弃热量</w:t>
            </w:r>
          </w:p>
        </w:tc>
        <w:tc>
          <w:tcPr>
            <w:tcW w:type="dxa" w:w="1376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最大电功率平衡绝对残差</w:t>
            </w:r>
          </w:p>
        </w:tc>
      </w:tr>
      <w:tr>
        <w:trPr>
          <w:cantSplit/>
        </w:trPr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春季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91,384.80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21,067.41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16,348.33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7,139.13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6,696.02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41.6854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41.6854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2.416e-12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夏季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100,285.00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23,611.22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24,466.69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9,959.20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3,902.18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58.1518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58.1518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1.336e-12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秋季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114,738.01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33,319.46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8,777.18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21,188.17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2,618.67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123.7177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123.7177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3.155e-12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冬季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129,137.08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40,173.54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2,280.24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25,571.57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2,616.23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149.3124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149.3124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3.780e-12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春季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102,612.82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14,093.85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8,855.18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10,289.66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5,261.37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60.0813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60.0813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3.126e-13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夏季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116,746.41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18,128.19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6,740.69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9,171.65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12,583.16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53.5532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53.5532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9.095e-13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秋季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124,465.26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26,950.59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2,036.24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25,510.81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1,098.99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148.9576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148.9576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5.116e-13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冬季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138,840.35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33,496.46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941.3638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29,690.17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1,139.04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173.3609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173.3609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1.990e-13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春季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111,713.04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9,867.77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9,493.02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11,594.79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4,417.06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67.7020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67.7020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8.527e-14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夏季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130,886.59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7,857.96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11,866.96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10,981.10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3,620.67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64.1186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64.1186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6.821e-13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秋季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142,447.84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19,274.74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796.5975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29,128.64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1,922.94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170.0822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170.0822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3.695e-13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376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冬季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165,879.38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21,936.16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1,120.63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34,005.75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240.9976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198.5596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198.5596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8.100e-13</w:t>
            </w:r>
          </w:p>
        </w:tc>
        <w:tc>
          <w:tcPr>
            <w:tcW w:type="dxa" w:w="1376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</w:tbl>
    <w:p>
      <w:pPr>
        <w:spacing w:after="100"/>
        <w:jc w:val="left"/>
      </w:pPr>
      <w:r>
        <w:rPr>
          <w:rFonts w:ascii="Times New Roman" w:hAnsi="Times New Roman" w:eastAsia="宋体"/>
          <w:i/>
          <w:sz w:val="15"/>
        </w:rPr>
        <w:t>数据来源：results/03_主方法调度结果/统计表/daily_system_summary.csv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黑体"/>
          <w:b/>
          <w:sz w:val="21"/>
        </w:rPr>
        <w:t>表 7  三种偏好和四季典型日的分园区调度结果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 w:val="true"/>
          <w:cantSplit/>
        </w:trPr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偏好类型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典型日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园区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运行成本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碳排放量 kgCO2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园区间总购电量 kWh 买入为正卖出为负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电网购电量 kWh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电网上网电量 kWh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弃热量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最大电功率平衡绝对残差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春季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居民区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13,570.04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3,961.95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2,028.15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3,422.86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1,053.62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8.527e-14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春季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商业区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19,684.72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4,325.92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14,320.18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3,716.27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春季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工业区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58,130.05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12,779.54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-16,348.33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5,642.40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2.331e-12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夏季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居民区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19,630.64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4,883.23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-1,131.39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2,042.04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2,678.21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2.558e-13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夏季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商业区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24,248.24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5,840.97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24,466.69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7,917.16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夏季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工业区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56,406.13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12,887.02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-23,335.29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1,223.97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1.080e-12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秋季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居民区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19,293.83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6,099.50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168.0183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5,316.18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848.5327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8.527e-14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秋季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商业区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31,147.16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14,292.13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8,352.98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15,871.99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206.4783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4.547e-13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秋季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工业区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64,297.02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12,927.84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-8,520.99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1,563.66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2.615e-12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冬季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居民区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25,676.06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7,348.37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72.2968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5,854.62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824.4703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3.126e-13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冬季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商业区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36,246.84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19,636.52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1,870.35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18,908.43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248.8437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1.705e-13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冬季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工业区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67,214.18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13,188.64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-1,942.65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808.5246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1,542.92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3.297e-12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春季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居民区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12,951.13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2,959.39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3,912.08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2,086.06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668.7109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2.274e-13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春季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商业区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17,896.68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10,198.81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4,616.35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7,370.59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471.5041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8.527e-14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春季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工业区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71,765.02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935.6500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-8,528.43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833.0136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4,121.15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夏季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居民区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17,717.07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3,717.55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4,030.26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1,110.85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3,750.05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夏季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商业区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27,149.72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13,701.59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1,539.81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7,778.45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224.4612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9.095e-13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夏季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工业区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71,879.63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709.0457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-5,570.07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282.3457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8,608.65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秋季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居民区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17,784.29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5,701.65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1,428.35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5,470.98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789.1751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8.527e-14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秋季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商业区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27,769.33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19,156.18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391.6459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17,456.27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309.8103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4.263e-13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秋季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工业区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78,911.63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2,092.75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-1,820.00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2,583.57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冬季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居民区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23,589.69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7,480.40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848.7444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6,912.90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743.3353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8.527e-14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冬季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商业区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31,736.84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21,139.54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-657.2019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15,098.34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117.2705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1.137e-13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冬季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工业区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83,513.82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4,876.52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-191.5425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7,678.92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278.4379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春季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居民区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14,336.01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3,427.04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3,153.79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4,931.62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668.7109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春季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商业区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26,105.01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5,505.09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6,339.22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5,830.17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591.7606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8.527e-14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春季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工业区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71,272.02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935.6414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-9,493.02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833.0038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3,156.58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夏季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居民区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15,745.51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3,401.60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7,232.27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5,355.58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381.2465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夏季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商业区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45,601.50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3,498.28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4,634.70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4,916.69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501.1907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6.821e-13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夏季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工业区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69,539.59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958.0760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-11,866.96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708.8352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2,738.24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秋季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居民区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21,375.49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4,996.75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360.4000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7,981.36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463.3440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8.527e-14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秋季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商业区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41,869.82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12,439.91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-436.1975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18,999.88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2.842e-13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秋季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工业区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79,202.52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1,838.08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75.7975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2,147.40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1,459.60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冬季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居民区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30,158.22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4,902.95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352.6923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8,396.85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51.7442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1.705e-13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冬季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商业区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52,240.17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12,465.85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-600.3005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18,459.45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1.1349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6.395e-13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冬季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工业区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83,480.99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4,567.37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247.6081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7,149.46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188.1186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</w:tbl>
    <w:p>
      <w:pPr>
        <w:spacing w:after="100"/>
        <w:jc w:val="left"/>
      </w:pPr>
      <w:r>
        <w:rPr>
          <w:rFonts w:ascii="Times New Roman" w:hAnsi="Times New Roman" w:eastAsia="宋体"/>
          <w:i/>
          <w:sz w:val="15"/>
        </w:rPr>
        <w:t>数据来源：results/03_主方法调度结果/统计表/daily_agent_summary.csv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黑体"/>
          <w:b/>
          <w:sz w:val="21"/>
        </w:rPr>
        <w:t>表 8  四个典型日的分交易对象电量汇总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偏好向量</w:t>
            </w:r>
          </w:p>
        </w:tc>
        <w:tc>
          <w:tcPr>
            <w:tcW w:type="dxa" w:w="189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本园区</w:t>
            </w:r>
          </w:p>
        </w:tc>
        <w:tc>
          <w:tcPr>
            <w:tcW w:type="dxa" w:w="189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交易对象园区</w:t>
            </w:r>
          </w:p>
        </w:tc>
        <w:tc>
          <w:tcPr>
            <w:tcW w:type="dxa" w:w="189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净交易电量/kWh</w:t>
            </w:r>
          </w:p>
        </w:tc>
        <w:tc>
          <w:tcPr>
            <w:tcW w:type="dxa" w:w="189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累计买入/kWh</w:t>
            </w:r>
          </w:p>
        </w:tc>
        <w:tc>
          <w:tcPr>
            <w:tcW w:type="dxa" w:w="189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累计卖出/kWh</w:t>
            </w:r>
          </w:p>
        </w:tc>
        <w:tc>
          <w:tcPr>
            <w:tcW w:type="dxa" w:w="189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最大单时段买入/kWh</w:t>
            </w:r>
          </w:p>
        </w:tc>
        <w:tc>
          <w:tcPr>
            <w:tcW w:type="dxa" w:w="189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最大单时段卖出/kWh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商业区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居民区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1,725.18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1,725.18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213.6798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商业区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工业区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47,285.01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47,285.01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1,383.25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居民区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商业区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-1,725.18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1,725.18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213.6798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居民区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工业区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2,862.25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2,862.25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423.6367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工业区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商业区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-47,285.01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47,285.01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1,383.25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工业区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居民区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-2,862.25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2,862.25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423.6367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商业区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居民区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-136.3863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644.4352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780.8215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267.1370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216.2389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商业区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工业区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6,026.99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6,546.08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519.0865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486.6504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426.4671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居民区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商业区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136.3863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780.8215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644.4352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216.2389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267.1370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居民区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工业区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10,083.05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10,083.05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512.3997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工业区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商业区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-6,026.99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519.0865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6,546.08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426.4671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486.6504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工业区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居民区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-10,083.05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10,083.05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512.3997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商业区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居民区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-124.0602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124.0602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63.2526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商业区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工业区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10,061.48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10,973.92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912.4378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681.6000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476.2403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居民区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商业区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124.0602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124.0602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63.2526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居民区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工业区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10,975.09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11,120.94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145.8493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596.4924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145.8493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工业区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商业区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-10,061.48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912.4378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10,973.92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476.2403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681.6000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工业区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居民区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-10,975.09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145.8493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11,120.94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145.8493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596.4924</w:t>
            </w:r>
          </w:p>
        </w:tc>
      </w:tr>
    </w:tbl>
    <w:p>
      <w:pPr>
        <w:spacing w:after="100"/>
        <w:jc w:val="left"/>
      </w:pPr>
      <w:r>
        <w:rPr>
          <w:rFonts w:ascii="Times New Roman" w:hAnsi="Times New Roman" w:eastAsia="宋体"/>
          <w:i/>
          <w:sz w:val="15"/>
        </w:rPr>
        <w:t>数据来源：results/04_园区电能交易结果/peer_trade_hourly_detail.csv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黑体"/>
          <w:b/>
          <w:sz w:val="21"/>
        </w:rPr>
        <w:t>表 9  典型调度结果的约束与一致性验证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blHeader w:val="true"/>
          <w:cantSplit/>
        </w:trPr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偏好类型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典型日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严格测试运行成本误差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严格测试碳排放误差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园区间电量平衡误差 kWh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交易资金平衡误差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碳红利预算平衡误差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弃热量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最大电功率平衡绝对残差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春季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1.455e-11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3.638e-12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9.095e-13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2.416e-12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夏季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1.336e-12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秋季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3.155e-12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冬季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1.455e-11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-7.276e-12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-2.274e-13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3.780e-12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春季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-2.910e-11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3.126e-13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夏季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-1.455e-11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9.095e-13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秋季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3.638e-12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5.116e-13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冬季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-7.276e-12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-5.684e-14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1.990e-13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春季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1.455e-11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8.527e-14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夏季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1.819e-12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6.821e-13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秋季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3.638e-12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-2.842e-14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3.695e-13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冬季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2.910e-11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3.638e-12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2.842e-14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8.100e-13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</w:tbl>
    <w:p>
      <w:pPr>
        <w:spacing w:after="100"/>
        <w:jc w:val="left"/>
      </w:pPr>
      <w:r>
        <w:rPr>
          <w:rFonts w:ascii="Times New Roman" w:hAnsi="Times New Roman" w:eastAsia="宋体"/>
          <w:i/>
          <w:sz w:val="15"/>
        </w:rPr>
        <w:t>数据来源：results/03_主方法调度结果/统计表/validation_detail.csv</w:t>
      </w:r>
    </w:p>
    <w:p>
      <w:r>
        <w:br w:type="page"/>
      </w:r>
    </w:p>
    <w:p>
      <w:pPr>
        <w:pStyle w:val="Heading1"/>
        <w:spacing w:after="100"/>
      </w:pPr>
      <w:r>
        <w:t>三、稳定性与收敛性</w:t>
      </w:r>
    </w:p>
    <w:p>
      <w:pPr>
        <w:spacing w:after="120"/>
      </w:pPr>
      <w:r>
        <w:t>使用十个随机种子检验主方法相对MADDPG的稳定优势，并以收敛曲线面积衡量整个训练过程的样本效率。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黑体"/>
          <w:b/>
          <w:sz w:val="21"/>
        </w:rPr>
        <w:t>表 10  主方法与MADDPG十随机种子性能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方法</w:t>
            </w:r>
          </w:p>
        </w:tc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HV均值</w:t>
            </w:r>
          </w:p>
        </w:tc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HV标准差</w:t>
            </w:r>
          </w:p>
        </w:tc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IGD均值</w:t>
            </w:r>
          </w:p>
        </w:tc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IGD标准差</w:t>
            </w:r>
          </w:p>
        </w:tc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稀疏度均值</w:t>
            </w:r>
          </w:p>
        </w:tc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帕累托点数均值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CDV3-MHV-VR-EMADDPG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0.7981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0.0058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0.0217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0.0043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0.0011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59.6000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0.7923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0.0050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0.0231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0.0029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0.0012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54.6000</w:t>
            </w:r>
          </w:p>
        </w:tc>
      </w:tr>
    </w:tbl>
    <w:p>
      <w:pPr>
        <w:spacing w:after="100"/>
        <w:jc w:val="left"/>
      </w:pPr>
      <w:r>
        <w:rPr>
          <w:rFonts w:ascii="Times New Roman" w:hAnsi="Times New Roman" w:eastAsia="宋体"/>
          <w:i/>
          <w:sz w:val="15"/>
        </w:rPr>
        <w:t>数据来源：results/05_收敛性与多随机种子验证/主方法与MADDPG对比10种子/summary.csv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黑体"/>
          <w:b/>
          <w:sz w:val="21"/>
        </w:rPr>
        <w:t>表 11  主方法与MADDPG十随机种子配对检验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blHeader w:val="true"/>
          <w:cantSplit/>
        </w:trPr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指标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胜出数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持平数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落后数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平均改善量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Bootstrap区间下限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Bootstrap区间上限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单侧Wilcoxon p值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Cohen dz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归一化超体积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0.0058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3.930e-04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0.0106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0.0420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0.6608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IGD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0.0014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-0.0024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0.0048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0.2783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0.2285</w:t>
            </w:r>
          </w:p>
        </w:tc>
      </w:tr>
    </w:tbl>
    <w:p>
      <w:pPr>
        <w:spacing w:after="100"/>
        <w:jc w:val="left"/>
      </w:pPr>
      <w:r>
        <w:rPr>
          <w:rFonts w:ascii="Times New Roman" w:hAnsi="Times New Roman" w:eastAsia="宋体"/>
          <w:i/>
          <w:sz w:val="15"/>
        </w:rPr>
        <w:t>数据来源：results/05_收敛性与多随机种子验证/主方法与MADDPG对比10种子/paired_tests.csv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黑体"/>
          <w:b/>
          <w:sz w:val="21"/>
        </w:rPr>
        <w:t>表 12  主方法与MADDPG收敛曲线面积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方法</w:t>
            </w:r>
          </w:p>
        </w:tc>
        <w:tc>
          <w:tcPr>
            <w:tcW w:type="dxa" w:w="3028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HV-AUC均值</w:t>
            </w:r>
          </w:p>
        </w:tc>
        <w:tc>
          <w:tcPr>
            <w:tcW w:type="dxa" w:w="3028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HV-AUC标准差</w:t>
            </w:r>
          </w:p>
        </w:tc>
        <w:tc>
          <w:tcPr>
            <w:tcW w:type="dxa" w:w="3028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IGD-AUC均值</w:t>
            </w:r>
          </w:p>
        </w:tc>
        <w:tc>
          <w:tcPr>
            <w:tcW w:type="dxa" w:w="3028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IGD-AUC标准差</w:t>
            </w:r>
          </w:p>
        </w:tc>
      </w:tr>
      <w:tr>
        <w:trPr>
          <w:cantSplit/>
        </w:trPr>
        <w:tc>
          <w:tcPr>
            <w:tcW w:type="dxa" w:w="30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CDV3-MHV-VR-EMADDPG</w:t>
            </w:r>
          </w:p>
        </w:tc>
        <w:tc>
          <w:tcPr>
            <w:tcW w:type="dxa" w:w="30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0.7738</w:t>
            </w:r>
          </w:p>
        </w:tc>
        <w:tc>
          <w:tcPr>
            <w:tcW w:type="dxa" w:w="30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0.0080</w:t>
            </w:r>
          </w:p>
        </w:tc>
        <w:tc>
          <w:tcPr>
            <w:tcW w:type="dxa" w:w="30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0.0374</w:t>
            </w:r>
          </w:p>
        </w:tc>
        <w:tc>
          <w:tcPr>
            <w:tcW w:type="dxa" w:w="30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0.0063</w:t>
            </w:r>
          </w:p>
        </w:tc>
      </w:tr>
      <w:tr>
        <w:trPr>
          <w:cantSplit/>
        </w:trPr>
        <w:tc>
          <w:tcPr>
            <w:tcW w:type="dxa" w:w="3028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MADDPG</w:t>
            </w:r>
          </w:p>
        </w:tc>
        <w:tc>
          <w:tcPr>
            <w:tcW w:type="dxa" w:w="3028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0.7431</w:t>
            </w:r>
          </w:p>
        </w:tc>
        <w:tc>
          <w:tcPr>
            <w:tcW w:type="dxa" w:w="3028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0.0221</w:t>
            </w:r>
          </w:p>
        </w:tc>
        <w:tc>
          <w:tcPr>
            <w:tcW w:type="dxa" w:w="3028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0.0520</w:t>
            </w:r>
          </w:p>
        </w:tc>
        <w:tc>
          <w:tcPr>
            <w:tcW w:type="dxa" w:w="3028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0.0148</w:t>
            </w:r>
          </w:p>
        </w:tc>
      </w:tr>
    </w:tbl>
    <w:p>
      <w:pPr>
        <w:spacing w:after="100"/>
        <w:jc w:val="left"/>
      </w:pPr>
      <w:r>
        <w:rPr>
          <w:rFonts w:ascii="Times New Roman" w:hAnsi="Times New Roman" w:eastAsia="宋体"/>
          <w:i/>
          <w:sz w:val="15"/>
        </w:rPr>
        <w:t>数据来源：results/05_收敛性与多随机种子验证/主方法收敛10种子/auc_summary.csv</w:t>
      </w:r>
    </w:p>
    <w:p>
      <w:r>
        <w:br w:type="page"/>
      </w:r>
    </w:p>
    <w:p>
      <w:pPr>
        <w:pStyle w:val="Heading1"/>
        <w:spacing w:after="100"/>
      </w:pPr>
      <w:r>
        <w:t>四、主方法核心消融</w:t>
      </w:r>
    </w:p>
    <w:p>
      <w:pPr>
        <w:spacing w:after="120"/>
      </w:pPr>
      <w:r>
        <w:t>通过A1、A3和A5三种消融分别验证Carbon-Dividend CDA V3、全任务偏好进化选择和向量经验回放的贡献。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黑体"/>
          <w:b/>
          <w:sz w:val="21"/>
        </w:rPr>
        <w:t>表 13  主方法与三种消融方法的五随机种子性能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 w:val="true"/>
          <w:cantSplit/>
        </w:trPr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实验方案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方法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HV均值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HV标准差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IGD均值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IGD标准差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稀疏度均值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帕累托点数均值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最低成本均值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最低碳排放均值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主方法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CDV3-MHV-VR-EMADDPG（主方法）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4.653355e+14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3.580387e+12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0.0135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0.0030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4.332e-04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99.2000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21,948,649.69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4,337,307.50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A1 碳红利机制消融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SCDA-MHV-VR-EMADDPG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4.629272e+14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2.363824e+12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0.0168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0.0026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5.692e-04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87.4000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21,922,754.02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4,317,332.60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A3 偏好选择机制消融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CDV3-RP-VR-EMADDPG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4.655757e+14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1.930456e+12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0.0139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0.0021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4.730e-04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86.6000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22,116,745.24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4,781,827.19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A5 向量经验回放消融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CDV3-MHV-SR-EMADDPG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4.620918e+14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2.384993e+12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0.0159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0.0021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6.125e-04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89.8000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21,807,921.24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4,373,166.68</w:t>
            </w:r>
          </w:p>
        </w:tc>
      </w:tr>
    </w:tbl>
    <w:p>
      <w:pPr>
        <w:spacing w:after="100"/>
        <w:jc w:val="left"/>
      </w:pPr>
      <w:r>
        <w:rPr>
          <w:rFonts w:ascii="Times New Roman" w:hAnsi="Times New Roman" w:eastAsia="宋体"/>
          <w:i/>
          <w:sz w:val="15"/>
        </w:rPr>
        <w:t>数据来源：results/06_消融实验/主方法全年消融/表格与协议/年度五随机种子汇总.csv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黑体"/>
          <w:b/>
          <w:sz w:val="21"/>
        </w:rPr>
        <w:t>表 14  主方法与三种消融方法的全年合并前沿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blHeader w:val="true"/>
          <w:cantSplit/>
        </w:trPr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实验方案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方法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种子数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帕累托点数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原始超体积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归一化IGD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归一化稀疏度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最低全年成本/CNY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最低全年碳排放/kgCO2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主方法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CDV3-MHV-VR-EMADDPG（主方法）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181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4.759620e+14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0.0043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1.249e-04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21,544,298.14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4,324,803.57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A1 碳红利机制消融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SCDA-MHV-VR-EMADDPG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157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4.728910e+14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0.0069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1.576e-04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21,737,415.75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4,245,737.84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A3 偏好选择机制消融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CDV3-RP-VR-EMADDPG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168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4.748038e+14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0.0047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1.294e-04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21,920,862.05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4,458,729.28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A5 向量经验回放消融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CDV3-MHV-SR-EMADDPG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180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4.733579e+14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0.0059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1.394e-04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21,525,815.12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4,288,485.15</w:t>
            </w:r>
          </w:p>
        </w:tc>
      </w:tr>
    </w:tbl>
    <w:p>
      <w:pPr>
        <w:spacing w:after="100"/>
        <w:jc w:val="left"/>
      </w:pPr>
      <w:r>
        <w:rPr>
          <w:rFonts w:ascii="Times New Roman" w:hAnsi="Times New Roman" w:eastAsia="宋体"/>
          <w:i/>
          <w:sz w:val="15"/>
        </w:rPr>
        <w:t>数据来源：results/06_消融实验/主方法全年消融/表格与协议/年度合并前沿指标.csv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黑体"/>
          <w:b/>
          <w:sz w:val="21"/>
        </w:rPr>
        <w:t>表 15  全年消融实验配对显著性检验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消融编号</w:t>
            </w:r>
          </w:p>
        </w:tc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消融方法</w:t>
            </w:r>
          </w:p>
        </w:tc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指标</w:t>
            </w:r>
          </w:p>
        </w:tc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主方法胜出数</w:t>
            </w:r>
          </w:p>
        </w:tc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主方法落后数</w:t>
            </w:r>
          </w:p>
        </w:tc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平均改善量</w:t>
            </w:r>
          </w:p>
        </w:tc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单侧Wilcoxon p值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A1 碳红利机制消融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SCDA-MHV-VR-EMADDPG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原始超体积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2.408336e+12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0.2188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A1 碳红利机制消融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SCDA-MHV-VR-EMADDPG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归一化IGD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0.0033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0.1562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A1 碳红利机制消融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SCDA-MHV-VR-EMADDPG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归一化稀疏度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1.360e-04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0.0938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A1 碳红利机制消融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SCDA-MHV-VR-EMADDPG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min_annual_cost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-25,895.67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0.4062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A1 碳红利机制消融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SCDA-MHV-VR-EMADDPG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min_annual_carbon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-19,974.90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0.6425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A3 偏好选择机制消融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CDV3-RP-VR-EMADDPG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原始超体积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-2.401567e+11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0.5000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A3 偏好选择机制消融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CDV3-RP-VR-EMADDPG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归一化IGD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4.298e-04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0.4062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A3 偏好选择机制消融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CDV3-RP-VR-EMADDPG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归一化稀疏度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3.983e-05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0.2188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A3 偏好选择机制消融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CDV3-RP-VR-EMADDPG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min_annual_cost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168,095.55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0.2188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A3 偏好选择机制消融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CDV3-RP-VR-EMADDPG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min_annual_carbon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444,519.69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0.0312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A5 向量经验回放消融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CDV3-MHV-SR-EMADDPG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原始超体积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3.243739e+12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0.0312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A5 向量经验回放消融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CDV3-MHV-SR-EMADDPG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归一化IGD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0.0023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0.1562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A5 向量经验回放消融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CDV3-MHV-SR-EMADDPG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归一化稀疏度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1.792e-04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0.0312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A5 向量经验回放消融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CDV3-MHV-SR-EMADDPG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min_annual_cost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-140,728.45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0.6875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A5 向量经验回放消融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CDV3-MHV-SR-EMADDPG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min_annual_carbon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35,859.19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0.3125</w:t>
            </w:r>
          </w:p>
        </w:tc>
      </w:tr>
    </w:tbl>
    <w:p>
      <w:pPr>
        <w:spacing w:after="100"/>
        <w:jc w:val="left"/>
      </w:pPr>
      <w:r>
        <w:rPr>
          <w:rFonts w:ascii="Times New Roman" w:hAnsi="Times New Roman" w:eastAsia="宋体"/>
          <w:i/>
          <w:sz w:val="15"/>
        </w:rPr>
        <w:t>数据来源：results/06_消融实验/主方法全年消融/表格与协议/年度配对显著性检验.csv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黑体"/>
          <w:b/>
          <w:sz w:val="21"/>
        </w:rPr>
        <w:t>表 16  三个核心模块的机制相对效应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消融模块</w:t>
            </w:r>
          </w:p>
        </w:tc>
        <w:tc>
          <w:tcPr>
            <w:tcW w:type="dxa" w:w="252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机制指标</w:t>
            </w:r>
          </w:p>
        </w:tc>
        <w:tc>
          <w:tcPr>
            <w:tcW w:type="dxa" w:w="252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完整方法</w:t>
            </w:r>
          </w:p>
        </w:tc>
        <w:tc>
          <w:tcPr>
            <w:tcW w:type="dxa" w:w="252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消融方法</w:t>
            </w:r>
          </w:p>
        </w:tc>
        <w:tc>
          <w:tcPr>
            <w:tcW w:type="dxa" w:w="252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期望方向</w:t>
            </w:r>
          </w:p>
        </w:tc>
        <w:tc>
          <w:tcPr>
            <w:tcW w:type="dxa" w:w="252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相对改善百分比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A1 Carbon-Dividend V3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全年碳排放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13,465,252.40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14,330,867.99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降低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6.040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A1 Carbon-Dividend V3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园区交易电量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2,401,817.41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2,002,431.83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提高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19.945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A1 Carbon-Dividend V3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电网购电量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10,546,229.11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10,976,212.88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降低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3.917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A1 Carbon-Dividend V3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交易卖方平均碳强度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0.2336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0.2533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降低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7.785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A3 Mean-HV偏好选择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有效偏好数量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6.0000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4.4727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提高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34.146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A3 Mean-HV偏好选择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偏好覆盖宽度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0.9922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0.7974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提高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24.430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A3 Mean-HV偏好选择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双极端覆盖率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1.0000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0.6545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提高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52.778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A3 Mean-HV偏好选择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重复偏好率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0.2545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降低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100.000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A5 向量经验回放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实际奖励相对错配率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0.0512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降低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100.000</w:t>
            </w:r>
          </w:p>
        </w:tc>
      </w:tr>
    </w:tbl>
    <w:p>
      <w:pPr>
        <w:spacing w:after="100"/>
        <w:jc w:val="left"/>
      </w:pPr>
      <w:r>
        <w:rPr>
          <w:rFonts w:ascii="Times New Roman" w:hAnsi="Times New Roman" w:eastAsia="宋体"/>
          <w:i/>
          <w:sz w:val="15"/>
        </w:rPr>
        <w:t>数据来源：results/06_消融实验/主方法全年消融/模块作用验证/表格与协议/模块机制相对效应汇总.csv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黑体"/>
          <w:b/>
          <w:sz w:val="21"/>
        </w:rPr>
        <w:t>表 17  三个核心模块机制指标的配对检验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消融模块</w:t>
            </w:r>
          </w:p>
        </w:tc>
        <w:tc>
          <w:tcPr>
            <w:tcW w:type="dxa" w:w="252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机制指标</w:t>
            </w:r>
          </w:p>
        </w:tc>
        <w:tc>
          <w:tcPr>
            <w:tcW w:type="dxa" w:w="252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完整方法均值</w:t>
            </w:r>
          </w:p>
        </w:tc>
        <w:tc>
          <w:tcPr>
            <w:tcW w:type="dxa" w:w="252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消融方法均值</w:t>
            </w:r>
          </w:p>
        </w:tc>
        <w:tc>
          <w:tcPr>
            <w:tcW w:type="dxa" w:w="252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完整方法减消融方法</w:t>
            </w:r>
          </w:p>
        </w:tc>
        <w:tc>
          <w:tcPr>
            <w:tcW w:type="dxa" w:w="252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双侧Wilcoxon检验p值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A1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园区交易电量_kWh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2,401,817.41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2,002,431.83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399,385.58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3.125e-01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A1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电网购电量_kWh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10,546,229.11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10,976,212.88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-429,983.77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6.250e-01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A1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交易卖方平均碳强度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0.2336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0.2533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-0.0197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3.125e-01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A3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平均有效偏好数量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6.0000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4.4727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1.5273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6.250e-02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A3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平均重复偏好率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0.2545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-0.2545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6.250e-02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A3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平均偏好覆盖宽度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0.9922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0.7974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0.1948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6.250e-02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A3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双极端覆盖率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1.0000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0.6545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0.3455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6.560e-02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A5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实际奖励相对错配率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0.0512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-0.0512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6.250e-02</w:t>
            </w:r>
          </w:p>
        </w:tc>
      </w:tr>
    </w:tbl>
    <w:p>
      <w:pPr>
        <w:spacing w:after="100"/>
        <w:jc w:val="left"/>
      </w:pPr>
      <w:r>
        <w:rPr>
          <w:rFonts w:ascii="Times New Roman" w:hAnsi="Times New Roman" w:eastAsia="宋体"/>
          <w:i/>
          <w:sz w:val="15"/>
        </w:rPr>
        <w:t>数据来源：results/06_消融实验/主方法全年消融/模块作用验证/表格与协议/模块机制指标配对检验.csv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黑体"/>
          <w:b/>
          <w:sz w:val="21"/>
        </w:rPr>
        <w:t>表 18  碳红利CDA的机制作用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blHeader w:val="true"/>
          <w:cantSplit/>
        </w:trPr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方法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全年碳排放均值 kgCO2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园区交易电量均值 kWh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电网购电量均值 kWh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交易卖方平均碳强度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最低碳卖方交易占比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碳红利资金均值 CNY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最大预算平衡误差 CNY</w:t>
            </w:r>
          </w:p>
        </w:tc>
        <w:tc>
          <w:tcPr>
            <w:tcW w:type="dxa" w:w="168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碳红利生效小时占比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A0完整方法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13,465,252.40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2,401,817.41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10,546,229.11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0.2336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0.9311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61,579.43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3.553e-15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0.9077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A1移除碳红利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14,330,867.99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2,002,431.83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10,976,212.88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0.2533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0.9129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68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</w:tbl>
    <w:p>
      <w:pPr>
        <w:spacing w:after="100"/>
        <w:jc w:val="left"/>
      </w:pPr>
      <w:r>
        <w:rPr>
          <w:rFonts w:ascii="Times New Roman" w:hAnsi="Times New Roman" w:eastAsia="宋体"/>
          <w:i/>
          <w:sz w:val="15"/>
        </w:rPr>
        <w:t>数据来源：results/06_消融实验/主方法全年消融/模块作用验证/表格与协议/A1碳红利机制总体汇总.csv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黑体"/>
          <w:b/>
          <w:sz w:val="21"/>
        </w:rPr>
        <w:t>表 19  全任务偏好进化选择的机制作用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方法</w:t>
            </w:r>
          </w:p>
        </w:tc>
        <w:tc>
          <w:tcPr>
            <w:tcW w:type="dxa" w:w="189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平均有效偏好数量</w:t>
            </w:r>
          </w:p>
        </w:tc>
        <w:tc>
          <w:tcPr>
            <w:tcW w:type="dxa" w:w="189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平均重复偏好率</w:t>
            </w:r>
          </w:p>
        </w:tc>
        <w:tc>
          <w:tcPr>
            <w:tcW w:type="dxa" w:w="189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平均偏好覆盖宽度</w:t>
            </w:r>
          </w:p>
        </w:tc>
        <w:tc>
          <w:tcPr>
            <w:tcW w:type="dxa" w:w="189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双极端覆盖率</w:t>
            </w:r>
          </w:p>
        </w:tc>
        <w:tc>
          <w:tcPr>
            <w:tcW w:type="dxa" w:w="189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平均偏好切换幅度</w:t>
            </w:r>
          </w:p>
        </w:tc>
        <w:tc>
          <w:tcPr>
            <w:tcW w:type="dxa" w:w="189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最终训练档案规模</w:t>
            </w:r>
          </w:p>
        </w:tc>
        <w:tc>
          <w:tcPr>
            <w:tcW w:type="dxa" w:w="1892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策略档案接受率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A0完整方法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6.0000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0.9922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1.0000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0.0494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116.4000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0.2959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A3随机偏好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4.4727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0.2545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0.7974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0.6545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0.3223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99.4000</w:t>
            </w:r>
          </w:p>
        </w:tc>
        <w:tc>
          <w:tcPr>
            <w:tcW w:type="dxa" w:w="1892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0.2656</w:t>
            </w:r>
          </w:p>
        </w:tc>
      </w:tr>
    </w:tbl>
    <w:p>
      <w:pPr>
        <w:spacing w:after="100"/>
        <w:jc w:val="left"/>
      </w:pPr>
      <w:r>
        <w:rPr>
          <w:rFonts w:ascii="Times New Roman" w:hAnsi="Times New Roman" w:eastAsia="宋体"/>
          <w:i/>
          <w:sz w:val="15"/>
        </w:rPr>
        <w:t>数据来源：results/06_消融实验/主方法全年消融/模块作用验证/表格与协议/A3偏好选择总体汇总.csv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黑体"/>
          <w:b/>
          <w:sz w:val="21"/>
        </w:rPr>
        <w:t>表 20  向量经验回放的奖励一致性作用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方法</w:t>
            </w:r>
          </w:p>
        </w:tc>
        <w:tc>
          <w:tcPr>
            <w:tcW w:type="dxa" w:w="3028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历史经验偏好不一致占比</w:t>
            </w:r>
          </w:p>
        </w:tc>
        <w:tc>
          <w:tcPr>
            <w:tcW w:type="dxa" w:w="3028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潜在奖励相对错配率</w:t>
            </w:r>
          </w:p>
        </w:tc>
        <w:tc>
          <w:tcPr>
            <w:tcW w:type="dxa" w:w="3028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实际奖励相对错配率</w:t>
            </w:r>
          </w:p>
        </w:tc>
        <w:tc>
          <w:tcPr>
            <w:tcW w:type="dxa" w:w="3028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最大实际奖励相对错配率</w:t>
            </w:r>
          </w:p>
        </w:tc>
      </w:tr>
      <w:tr>
        <w:trPr>
          <w:cantSplit/>
        </w:trPr>
        <w:tc>
          <w:tcPr>
            <w:tcW w:type="dxa" w:w="30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A0向量重标记</w:t>
            </w:r>
          </w:p>
        </w:tc>
        <w:tc>
          <w:tcPr>
            <w:tcW w:type="dxa" w:w="30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0.4737</w:t>
            </w:r>
          </w:p>
        </w:tc>
        <w:tc>
          <w:tcPr>
            <w:tcW w:type="dxa" w:w="30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0.1279</w:t>
            </w:r>
          </w:p>
        </w:tc>
        <w:tc>
          <w:tcPr>
            <w:tcW w:type="dxa" w:w="30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30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3028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A5旧标量奖励</w:t>
            </w:r>
          </w:p>
        </w:tc>
        <w:tc>
          <w:tcPr>
            <w:tcW w:type="dxa" w:w="3028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0.3275</w:t>
            </w:r>
          </w:p>
        </w:tc>
        <w:tc>
          <w:tcPr>
            <w:tcW w:type="dxa" w:w="3028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0.0512</w:t>
            </w:r>
          </w:p>
        </w:tc>
        <w:tc>
          <w:tcPr>
            <w:tcW w:type="dxa" w:w="3028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0.0512</w:t>
            </w:r>
          </w:p>
        </w:tc>
        <w:tc>
          <w:tcPr>
            <w:tcW w:type="dxa" w:w="3028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0.3947</w:t>
            </w:r>
          </w:p>
        </w:tc>
      </w:tr>
    </w:tbl>
    <w:p>
      <w:pPr>
        <w:spacing w:after="100"/>
        <w:jc w:val="left"/>
      </w:pPr>
      <w:r>
        <w:rPr>
          <w:rFonts w:ascii="Times New Roman" w:hAnsi="Times New Roman" w:eastAsia="宋体"/>
          <w:i/>
          <w:sz w:val="15"/>
        </w:rPr>
        <w:t>数据来源：results/06_消融实验/主方法全年消融/模块作用验证/表格与协议/A5奖励错配总体汇总.csv</w:t>
      </w:r>
    </w:p>
    <w:p>
      <w:r>
        <w:br w:type="page"/>
      </w:r>
    </w:p>
    <w:p>
      <w:pPr>
        <w:pStyle w:val="Heading1"/>
        <w:spacing w:after="100"/>
      </w:pPr>
      <w:r>
        <w:t>五、参数敏感性及场景分解</w:t>
      </w:r>
    </w:p>
    <w:p>
      <w:pPr>
        <w:spacing w:after="120"/>
      </w:pPr>
      <w:r>
        <w:t>分析碳价变化对主方法的影响，并从偏好和季节两个维度说明方法的适应性及运行规律。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黑体"/>
          <w:b/>
          <w:sz w:val="21"/>
        </w:rPr>
        <w:t>表 21  不同碳价下的五随机种子性能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 w:val="true"/>
          <w:cantSplit/>
        </w:trPr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碳价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HV均值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HV标准差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IGD均值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IGD标准差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稀疏度均值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稀疏度标准差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帕累托点数均值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最低成本均值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最低碳排放均值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0.7885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0.0029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0.0226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9.468e-04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0.0014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3.722e-04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52.3333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238,686.40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42,238.69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0.0050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0.7987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0.0053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0.0174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0.0031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0.0010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1.173e-04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60.6667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237,898.77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38,254.14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0.0100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0.7951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0.0025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0.0189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0.0023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7.652e-04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1.399e-04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69.3333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238,791.42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37,589.85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0.0200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0.7881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0.0072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0.0232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0.0045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0.0013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2.575e-04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51.3333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237,156.67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43,526.14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0.0500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0.7873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0.0138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0.0241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0.0079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0.0011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1.707e-04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57.6667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236,440.65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43,699.76</w:t>
            </w:r>
          </w:p>
        </w:tc>
      </w:tr>
    </w:tbl>
    <w:p>
      <w:pPr>
        <w:spacing w:after="100"/>
        <w:jc w:val="left"/>
      </w:pPr>
      <w:r>
        <w:rPr>
          <w:rFonts w:ascii="Times New Roman" w:hAnsi="Times New Roman" w:eastAsia="宋体"/>
          <w:i/>
          <w:sz w:val="15"/>
        </w:rPr>
        <w:t>数据来源：results/07_碳价敏感性分析/表格与协议/summary.csv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黑体"/>
          <w:b/>
          <w:sz w:val="21"/>
        </w:rPr>
        <w:t>表 22  不同偏好向量下的五随机种子结果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 w:val="true"/>
          <w:cantSplit/>
        </w:trPr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方法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偏好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成本均值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成本标准差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碳排放均值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碳排放标准差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电网购电均值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园区交易均值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完成种子数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最大平衡误差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Carbon levy + equal dividend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386,656.09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9,366.45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135,681.41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2,994.61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111,519.81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25,435.84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1.776e-15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Carbon levy + equal dividend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511,726.11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2,641.04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76,413.21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4,157.98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82,333.24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44,112.91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1.776e-15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Carbon levy + equal dividend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300,378.64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10,465.53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217,963.71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4,534.87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234,365.61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2,187.30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3.553e-15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Standard CDA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391,614.35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6,370.67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134,547.57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5,445.15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110,215.17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24,955.67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Standard CDA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512,145.76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2,396.70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75,519.46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3,274.71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81,324.20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44,415.77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Standard CDA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298,314.24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11,135.63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213,721.57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4,551.25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216,905.79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1,915.56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Carbon levy + targeted dividend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391,869.58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5,440.70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132,089.79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2,297.70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106,285.42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28,209.65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1.776e-15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Carbon levy + targeted dividend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514,350.38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5,160.73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74,563.43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3,278.90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79,088.53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44,823.29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1.776e-15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Carbon levy + targeted dividend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297,857.83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10,731.05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213,678.74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7,709.83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217,939.80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2,237.49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1.776e-15</w:t>
            </w:r>
          </w:p>
        </w:tc>
      </w:tr>
    </w:tbl>
    <w:p>
      <w:pPr>
        <w:spacing w:after="100"/>
        <w:jc w:val="left"/>
      </w:pPr>
      <w:r>
        <w:rPr>
          <w:rFonts w:ascii="Times New Roman" w:hAnsi="Times New Roman" w:eastAsia="宋体"/>
          <w:i/>
          <w:sz w:val="15"/>
        </w:rPr>
        <w:t>数据来源：results/08_偏好与季节分解分析/v3_preference_season_5seed_preference_summary.csv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黑体"/>
          <w:b/>
          <w:sz w:val="21"/>
        </w:rPr>
        <w:t>表 23  不同季节下的五随机种子结果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 w:val="true"/>
          <w:cantSplit/>
        </w:trPr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方法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季节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成本均值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成本标准差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碳排放均值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碳排放标准差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电网购电均值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园区交易均值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完成种子数</w:t>
            </w:r>
          </w:p>
        </w:tc>
        <w:tc>
          <w:tcPr>
            <w:tcW w:type="dxa" w:w="1514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最大平衡误差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Carbon levy + equal dividend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秋季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321,230.96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4,803.40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117,637.35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2,442.67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120,636.41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8,136.86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1.776e-15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Carbon levy + equal dividend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春季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240,937.69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5,133.13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80,891.86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1,635.39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70,834.42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27,286.77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1.776e-15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Carbon levy + equal dividend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夏季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260,686.18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5,218.95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100,905.44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2,934.62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107,347.63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34,231.55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1.776e-15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Carbon levy + equal dividend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冬季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375,906.01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5,332.46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130,623.67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2,579.02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129,400.21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2,080.87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3.553e-15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Standard CDA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秋季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321,696.75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4,437.73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116,222.29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2,341.46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115,964.89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7,758.96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Standard CDA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春季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242,326.68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3,656.79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79,338.17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2,443.77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66,136.97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27,189.37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Standard CDA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夏季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262,034.99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3,627.36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98,900.87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2,863.93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101,748.92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34,781.23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Standard CDA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冬季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376,015.93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4,938.50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129,327.28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2,458.88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124,594.38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1,557.44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0.0000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Carbon levy + targeted dividend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秋季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322,174.00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3,648.33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115,936.34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3,034.02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115,780.37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8,110.42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1.776e-15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Carbon levy + targeted dividend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春季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242,242.45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3,292.64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78,070.93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1,881.24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64,215.61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29,259.09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1.776e-15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Carbon levy + targeted dividend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夏季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263,072.01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3,669.12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97,035.03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4,601.28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98,207.53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36,312.87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1.776e-15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Carbon levy + targeted dividend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冬季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376,589.32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4,503.23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129,289.66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3,217.63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125,110.24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1,588.06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1514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1.776e-15</w:t>
            </w:r>
          </w:p>
        </w:tc>
      </w:tr>
    </w:tbl>
    <w:p>
      <w:pPr>
        <w:spacing w:after="100"/>
        <w:jc w:val="left"/>
      </w:pPr>
      <w:r>
        <w:rPr>
          <w:rFonts w:ascii="Times New Roman" w:hAnsi="Times New Roman" w:eastAsia="宋体"/>
          <w:i/>
          <w:sz w:val="15"/>
        </w:rPr>
        <w:t>数据来源：results/08_偏好与季节分解分析/v3_preference_season_5seed_season_summary.csv</w:t>
      </w:r>
    </w:p>
    <w:p>
      <w:r>
        <w:br w:type="page"/>
      </w:r>
    </w:p>
    <w:p>
      <w:pPr>
        <w:pStyle w:val="Heading1"/>
        <w:spacing w:after="100"/>
      </w:pPr>
      <w:r>
        <w:t>六、主方法与基线的调度行为</w:t>
      </w:r>
    </w:p>
    <w:p>
      <w:pPr>
        <w:spacing w:after="120"/>
      </w:pPr>
      <w:r>
        <w:t>对主方法和MADDPG在三种标准偏好及四个典型日下的成本、碳排放、电网购电和园区交易进行直接比较。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黑体"/>
          <w:b/>
          <w:sz w:val="21"/>
        </w:rPr>
        <w:t>表 24  主方法与MADDPG不同偏好向量下的调度行为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方法</w:t>
            </w:r>
          </w:p>
        </w:tc>
        <w:tc>
          <w:tcPr>
            <w:tcW w:type="dxa" w:w="252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偏好</w:t>
            </w:r>
          </w:p>
        </w:tc>
        <w:tc>
          <w:tcPr>
            <w:tcW w:type="dxa" w:w="252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运行成本</w:t>
            </w:r>
          </w:p>
        </w:tc>
        <w:tc>
          <w:tcPr>
            <w:tcW w:type="dxa" w:w="252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碳排放量</w:t>
            </w:r>
          </w:p>
        </w:tc>
        <w:tc>
          <w:tcPr>
            <w:tcW w:type="dxa" w:w="252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电网购电量</w:t>
            </w:r>
          </w:p>
        </w:tc>
        <w:tc>
          <w:tcPr>
            <w:tcW w:type="dxa" w:w="252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园区交易电量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MADDPG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405,094.12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139,726.33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156,381.06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15,186.57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MADDPG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586,170.04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37,101.46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60,157.50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22,006.61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MADDPG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237,667.04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245,854.24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241,671.05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13,262.67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CDV3-MHV-VR-EMADDPG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403,200.08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130,664.19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44,349.92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30,996.81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CDV3-MHV-VR-EMADDPG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588,256.04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38,797.90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63,019.56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20,664.90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CDV3-MHV-VR-EMADDPG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234,653.58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239,984.46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243,113.08</w:t>
            </w:r>
          </w:p>
        </w:tc>
        <w:tc>
          <w:tcPr>
            <w:tcW w:type="dxa" w:w="252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8,092.24</w:t>
            </w:r>
          </w:p>
        </w:tc>
      </w:tr>
    </w:tbl>
    <w:p>
      <w:pPr>
        <w:spacing w:after="100"/>
        <w:jc w:val="left"/>
      </w:pPr>
      <w:r>
        <w:rPr>
          <w:rFonts w:ascii="Times New Roman" w:hAnsi="Times New Roman" w:eastAsia="宋体"/>
          <w:i/>
          <w:sz w:val="15"/>
        </w:rPr>
        <w:t>数据来源：results/09_调度行为对比/表格/summary.csv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黑体"/>
          <w:b/>
          <w:sz w:val="21"/>
        </w:rPr>
        <w:t>表 25  主方法与MADDPG不同偏好和季节下的调度行为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方法</w:t>
            </w:r>
          </w:p>
        </w:tc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偏好</w:t>
            </w:r>
          </w:p>
        </w:tc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季节</w:t>
            </w:r>
          </w:p>
        </w:tc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运行成本</w:t>
            </w:r>
          </w:p>
        </w:tc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碳排放量</w:t>
            </w:r>
          </w:p>
        </w:tc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电网购电量</w:t>
            </w:r>
          </w:p>
        </w:tc>
        <w:tc>
          <w:tcPr>
            <w:tcW w:type="dxa" w:w="216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园区交易电量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秋季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108,166.63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38,582.32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46,984.38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2,400.33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春季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78,869.76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29,096.78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31,853.40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4,560.85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夏季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95,638.82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27,427.81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29,229.01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7,145.72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冬季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122,418.91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44,619.42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48,314.28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1,079.67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秋季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150,178.51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13,853.20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22,724.77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2,184.48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春季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119,682.09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5,002.41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7,797.71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9,273.84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夏季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143,283.44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2,632.19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3,567.43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10,272.17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冬季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173,026.00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15,613.66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26,067.59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276.1179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秋季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64,948.86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66,249.82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69,639.68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3,333.76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春季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45,269.53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51,465.56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51,367.92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2,781.48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夏季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50,700.54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53,614.83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41,810.45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4,762.48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冬季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76,748.11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74,524.03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78,852.99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2,384.95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CDV3-MHV-VR-EMADDPG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秋季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108,053.24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32,342.41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14,056.58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8,991.07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CDV3-MHV-VR-EMADDPG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春季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73,879.04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28,614.67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5,612.79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10,982.44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CDV3-MHV-VR-EMADDPG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夏季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90,799.11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30,337.97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2,434.09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9,192.65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CDV3-MHV-VR-EMADDPG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相对均衡 [0.5, 0.5]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冬季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130,468.69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39,369.15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22,246.46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1,830.64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CDV3-MHV-VR-EMADDPG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秋季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150,221.51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14,442.42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23,731.94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1,762.89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CDV3-MHV-VR-EMADDPG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春季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119,603.37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5,117.14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7,945.96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9,539.37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CDV3-MHV-VR-EMADDPG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夏季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144,887.38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2,644.21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3,596.40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9,086.52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CDV3-MHV-VR-EMADDPG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碳排放优先 [0.2, 0.8]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冬季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173,543.77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16,594.13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27,745.26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276.1179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CDV3-MHV-VR-EMADDPG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秋季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64,519.59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64,233.50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67,214.40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1,683.35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CDV3-MHV-VR-EMADDPG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春季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44,237.41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49,754.68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51,089.11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1,805.91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CDV3-MHV-VR-EMADDPG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夏季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49,441.86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56,372.48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60,666.82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1,900.65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CDV3-MHV-VR-EMADDPG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成本优先 [0.8, 0.2]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冬季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76,454.72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69,623.80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64,142.74</w:t>
            </w:r>
          </w:p>
        </w:tc>
        <w:tc>
          <w:tcPr>
            <w:tcW w:type="dxa" w:w="2163"/>
            <w:vAlign w:val="center"/>
            <w:tcBorders>
              <w:top w:val="nil"/>
              <w:left w:val="nil"/>
              <w:bottom w:val="single" w:sz="12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2,702.34</w:t>
            </w:r>
          </w:p>
        </w:tc>
      </w:tr>
    </w:tbl>
    <w:p>
      <w:pPr>
        <w:spacing w:after="100"/>
        <w:jc w:val="left"/>
      </w:pPr>
      <w:r>
        <w:rPr>
          <w:rFonts w:ascii="Times New Roman" w:hAnsi="Times New Roman" w:eastAsia="宋体"/>
          <w:i/>
          <w:sz w:val="15"/>
        </w:rPr>
        <w:t>数据来源：results/09_调度行为对比/表格/season_summary.csv</w:t>
      </w:r>
    </w:p>
    <w:sectPr w:rsidR="00FC693F" w:rsidRPr="0006063C" w:rsidSect="00034616">
      <w:pgSz w:w="16838" w:h="11906" w:orient="landscape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核心实验结果数据表</dc:title>
  <dc:subject>多智能体进化强化学习综合能源系统优化调度核心实验结果</dc:subject>
  <dc:creator>项目实验结果自动汇编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