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00"/>
      </w:pPr>
      <w:r>
        <w:rPr>
          <w:rFonts w:ascii="Hiragino Sans" w:hAnsi="Hiragino Sans" w:eastAsia="Hiragino Sans"/>
          <w:b/>
          <w:color w:val="2E74B5"/>
          <w:sz w:val="20"/>
        </w:rPr>
        <w:t>USER GUIDE</w:t>
      </w:r>
    </w:p>
    <w:p>
      <w:pPr>
        <w:pStyle w:val="Title"/>
        <w:jc w:val="left"/>
      </w:pPr>
      <w:r>
        <w:t>CN Navigator ユーザーマニュアル</w:t>
      </w:r>
    </w:p>
    <w:p>
      <w:pPr>
        <w:pStyle w:val="Subtitle"/>
      </w:pPr>
      <w:r>
        <w:t>出荷案件・書類・進捗・利用者管理｜一般ユーザー／管理者／スーパー管理者</w:t>
      </w:r>
    </w:p>
    <w:p>
      <w:pPr>
        <w:spacing w:before="200" w:after="280"/>
        <w:pBdr>
          <w:bottom w:val="single" w:sz="14" w:space="4" w:color="2E74B5"/>
        </w:pBdr>
      </w:pPr>
    </w:p>
    <w:tbl>
      <w:tblPr>
        <w:tblStyle w:val="TableGrid"/>
        <w:tblW w:type="dxa" w:w="9360"/>
        <w:jc w:val="center"/>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pPr>
              <w:spacing w:after="0"/>
            </w:pPr>
            <w:r>
              <w:rPr>
                <w:rFonts w:ascii="Hiragino Sans" w:hAnsi="Hiragino Sans" w:eastAsia="Hiragino Sans"/>
                <w:b/>
                <w:color w:val="1F4D78"/>
                <w:sz w:val="19"/>
              </w:rPr>
              <w:t>対象バージョン</w:t>
            </w:r>
          </w:p>
        </w:tc>
        <w:tc>
          <w:tcPr>
            <w:tcW w:type="dxa" w:w="7260"/>
            <w:vAlign w:val="center"/>
            <w:tcMar>
              <w:top w:w="80" w:type="dxa"/>
              <w:start w:w="120" w:type="dxa"/>
              <w:bottom w:w="80" w:type="dxa"/>
              <w:end w:w="120" w:type="dxa"/>
            </w:tcMar>
          </w:tcPr>
          <w:p>
            <w:pPr>
              <w:spacing w:after="0"/>
            </w:pPr>
            <w:r>
              <w:rPr>
                <w:rFonts w:ascii="Hiragino Sans" w:hAnsi="Hiragino Sans" w:eastAsia="Hiragino Sans"/>
                <w:b w:val="0"/>
                <w:color w:val="172033"/>
                <w:sz w:val="19"/>
              </w:rPr>
              <w:t>2026年8月7日時点のアプリケーション</w:t>
            </w:r>
          </w:p>
        </w:tc>
      </w:tr>
      <w:tr>
        <w:tc>
          <w:tcPr>
            <w:tcW w:type="dxa" w:w="2100"/>
            <w:vAlign w:val="center"/>
            <w:tcMar>
              <w:top w:w="80" w:type="dxa"/>
              <w:start w:w="120" w:type="dxa"/>
              <w:bottom w:w="80" w:type="dxa"/>
              <w:end w:w="120" w:type="dxa"/>
            </w:tcMar>
            <w:shd w:fill="E8EEF5"/>
          </w:tcPr>
          <w:p>
            <w:pPr>
              <w:spacing w:after="0"/>
            </w:pPr>
            <w:r>
              <w:rPr>
                <w:rFonts w:ascii="Hiragino Sans" w:hAnsi="Hiragino Sans" w:eastAsia="Hiragino Sans"/>
                <w:b/>
                <w:color w:val="1F4D78"/>
                <w:sz w:val="19"/>
              </w:rPr>
              <w:t>文書版</w:t>
            </w:r>
          </w:p>
        </w:tc>
        <w:tc>
          <w:tcPr>
            <w:tcW w:type="dxa" w:w="7260"/>
            <w:vAlign w:val="center"/>
            <w:tcMar>
              <w:top w:w="80" w:type="dxa"/>
              <w:start w:w="120" w:type="dxa"/>
              <w:bottom w:w="80" w:type="dxa"/>
              <w:end w:w="120" w:type="dxa"/>
            </w:tcMar>
          </w:tcPr>
          <w:p>
            <w:pPr>
              <w:spacing w:after="0"/>
            </w:pPr>
            <w:r>
              <w:rPr>
                <w:rFonts w:ascii="Hiragino Sans" w:hAnsi="Hiragino Sans" w:eastAsia="Hiragino Sans"/>
                <w:b w:val="0"/>
                <w:color w:val="172033"/>
                <w:sz w:val="19"/>
              </w:rPr>
              <w:t>1.0</w:t>
            </w:r>
          </w:p>
        </w:tc>
      </w:tr>
      <w:tr>
        <w:tc>
          <w:tcPr>
            <w:tcW w:type="dxa" w:w="2100"/>
            <w:vAlign w:val="center"/>
            <w:tcMar>
              <w:top w:w="80" w:type="dxa"/>
              <w:start w:w="120" w:type="dxa"/>
              <w:bottom w:w="80" w:type="dxa"/>
              <w:end w:w="120" w:type="dxa"/>
            </w:tcMar>
            <w:shd w:fill="E8EEF5"/>
          </w:tcPr>
          <w:p>
            <w:pPr>
              <w:spacing w:after="0"/>
            </w:pPr>
            <w:r>
              <w:rPr>
                <w:rFonts w:ascii="Hiragino Sans" w:hAnsi="Hiragino Sans" w:eastAsia="Hiragino Sans"/>
                <w:b/>
                <w:color w:val="1F4D78"/>
                <w:sz w:val="19"/>
              </w:rPr>
              <w:t>主言語</w:t>
            </w:r>
          </w:p>
        </w:tc>
        <w:tc>
          <w:tcPr>
            <w:tcW w:type="dxa" w:w="7260"/>
            <w:vAlign w:val="center"/>
            <w:tcMar>
              <w:top w:w="80" w:type="dxa"/>
              <w:start w:w="120" w:type="dxa"/>
              <w:bottom w:w="80" w:type="dxa"/>
              <w:end w:w="120" w:type="dxa"/>
            </w:tcMar>
          </w:tcPr>
          <w:p>
            <w:pPr>
              <w:spacing w:after="0"/>
            </w:pPr>
            <w:r>
              <w:rPr>
                <w:rFonts w:ascii="Hiragino Sans" w:hAnsi="Hiragino Sans" w:eastAsia="Hiragino Sans"/>
                <w:b w:val="0"/>
                <w:color w:val="172033"/>
                <w:sz w:val="19"/>
              </w:rPr>
              <w:t>日本語（画面上で日本語／英語を切替可能）</w:t>
            </w:r>
          </w:p>
        </w:tc>
      </w:tr>
      <w:tr>
        <w:tc>
          <w:tcPr>
            <w:tcW w:type="dxa" w:w="2100"/>
            <w:vAlign w:val="center"/>
            <w:tcMar>
              <w:top w:w="80" w:type="dxa"/>
              <w:start w:w="120" w:type="dxa"/>
              <w:bottom w:w="80" w:type="dxa"/>
              <w:end w:w="120" w:type="dxa"/>
            </w:tcMar>
            <w:shd w:fill="E8EEF5"/>
          </w:tcPr>
          <w:p>
            <w:pPr>
              <w:spacing w:after="0"/>
            </w:pPr>
            <w:r>
              <w:rPr>
                <w:rFonts w:ascii="Hiragino Sans" w:hAnsi="Hiragino Sans" w:eastAsia="Hiragino Sans"/>
                <w:b/>
                <w:color w:val="1F4D78"/>
                <w:sz w:val="19"/>
              </w:rPr>
              <w:t>対象端末</w:t>
            </w:r>
          </w:p>
        </w:tc>
        <w:tc>
          <w:tcPr>
            <w:tcW w:type="dxa" w:w="7260"/>
            <w:vAlign w:val="center"/>
            <w:tcMar>
              <w:top w:w="80" w:type="dxa"/>
              <w:start w:w="120" w:type="dxa"/>
              <w:bottom w:w="80" w:type="dxa"/>
              <w:end w:w="120" w:type="dxa"/>
            </w:tcMar>
          </w:tcPr>
          <w:p>
            <w:pPr>
              <w:spacing w:after="0"/>
            </w:pPr>
            <w:r>
              <w:rPr>
                <w:rFonts w:ascii="Hiragino Sans" w:hAnsi="Hiragino Sans" w:eastAsia="Hiragino Sans"/>
                <w:b w:val="0"/>
                <w:color w:val="172033"/>
                <w:sz w:val="19"/>
              </w:rPr>
              <w:t>デスクトップ／タブレット／スマートフォンのWebブラウザ</w:t>
            </w:r>
          </w:p>
        </w:tc>
      </w:tr>
      <w:tr>
        <w:tc>
          <w:tcPr>
            <w:tcW w:type="dxa" w:w="2100"/>
            <w:vAlign w:val="center"/>
            <w:tcMar>
              <w:top w:w="80" w:type="dxa"/>
              <w:start w:w="120" w:type="dxa"/>
              <w:bottom w:w="80" w:type="dxa"/>
              <w:end w:w="120" w:type="dxa"/>
            </w:tcMar>
            <w:shd w:fill="E8EEF5"/>
          </w:tcPr>
          <w:p>
            <w:pPr>
              <w:spacing w:after="0"/>
            </w:pPr>
            <w:r>
              <w:rPr>
                <w:rFonts w:ascii="Hiragino Sans" w:hAnsi="Hiragino Sans" w:eastAsia="Hiragino Sans"/>
                <w:b/>
                <w:color w:val="1F4D78"/>
                <w:sz w:val="19"/>
              </w:rPr>
              <w:t>サポート窓口</w:t>
            </w:r>
          </w:p>
        </w:tc>
        <w:tc>
          <w:tcPr>
            <w:tcW w:type="dxa" w:w="7260"/>
            <w:vAlign w:val="center"/>
            <w:tcMar>
              <w:top w:w="80" w:type="dxa"/>
              <w:start w:w="120" w:type="dxa"/>
              <w:bottom w:w="80" w:type="dxa"/>
              <w:end w:w="120" w:type="dxa"/>
            </w:tcMar>
          </w:tcPr>
          <w:p>
            <w:pPr>
              <w:spacing w:after="0"/>
            </w:pPr>
            <w:r>
              <w:rPr>
                <w:rFonts w:ascii="Hiragino Sans" w:hAnsi="Hiragino Sans" w:eastAsia="Hiragino Sans"/>
                <w:b w:val="0"/>
                <w:color w:val="172033"/>
                <w:sz w:val="19"/>
              </w:rPr>
              <w:t>［保守契約の別紙1に定める連絡先：要記入］</w:t>
            </w:r>
          </w:p>
        </w:tc>
      </w:tr>
    </w:tbl>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Hiragino Sans" w:hAnsi="Hiragino Sans" w:eastAsia="Hiragino Sans"/>
                <w:b/>
                <w:color w:val="1F4D78"/>
                <w:sz w:val="20"/>
              </w:rPr>
              <w:t xml:space="preserve">このマニュアルについて  </w:t>
            </w:r>
            <w:r>
              <w:rPr>
                <w:rFonts w:ascii="Hiragino Sans" w:hAnsi="Hiragino Sans" w:eastAsia="Hiragino Sans"/>
                <w:b w:val="0"/>
                <w:color w:val="172033"/>
                <w:sz w:val="20"/>
              </w:rPr>
              <w:t>画面表示は権限、担当荷主、案件状態および承認状態によって異なります。利用できない機能がある場合は、まず自分の利用者区分と担当割当を確認してください。</w:t>
            </w:r>
          </w:p>
        </w:tc>
      </w:tr>
    </w:tbl>
    <w:p>
      <w:pPr>
        <w:spacing w:after="20"/>
      </w:pPr>
    </w:p>
    <w:p>
      <w:pPr>
        <w:pStyle w:val="Heading1"/>
      </w:pPr>
      <w:r>
        <w:t>1　最初に確認すること</w:t>
      </w:r>
    </w:p>
    <w:p>
      <w:pPr>
        <w:pStyle w:val="Heading2"/>
      </w:pPr>
      <w:r>
        <w:t>1.1　利用者区分</w:t>
      </w:r>
    </w:p>
    <w:tbl>
      <w:tblPr>
        <w:tblStyle w:val="TableGrid"/>
        <w:tblW w:type="dxa" w:w="9360"/>
        <w:tblLayout w:type="fixed"/>
        <w:tblLook w:firstColumn="1" w:firstRow="1" w:lastColumn="0" w:lastRow="0" w:noHBand="0" w:noVBand="1" w:val="04A0"/>
        <w:jc w:val="center"/>
        <w:tblInd w:w="120" w:type="dxa"/>
      </w:tblPr>
      <w:tblGrid>
        <w:gridCol w:w="2500"/>
        <w:gridCol w:w="6860"/>
      </w:tblGrid>
      <w:tr>
        <w:trPr>
          <w:tblHeader w:val="true"/>
        </w:trPr>
        <w:tc>
          <w:tcPr>
            <w:tcW w:type="dxa" w:w="250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8"/>
              </w:rPr>
              <w:t>区分</w:t>
            </w:r>
          </w:p>
        </w:tc>
        <w:tc>
          <w:tcPr>
            <w:tcW w:type="dxa" w:w="686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8"/>
              </w:rPr>
              <w:t>主な利用範囲</w:t>
            </w:r>
          </w:p>
        </w:tc>
      </w:tr>
      <w:tr>
        <w:tc>
          <w:tcPr>
            <w:tcW w:type="dxa" w:w="250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一般ユーザー／荷主ユーザー</w:t>
            </w:r>
          </w:p>
        </w:tc>
        <w:tc>
          <w:tcPr>
            <w:tcW w:type="dxa" w:w="68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自社に紐づく出荷案件の閲覧、顧客向け書類のダウンロード申請・取得、評価送信、プロフィール画像</w:t>
            </w:r>
          </w:p>
        </w:tc>
      </w:tr>
      <w:tr>
        <w:tc>
          <w:tcPr>
            <w:tcW w:type="dxa" w:w="25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管理者</w:t>
            </w:r>
          </w:p>
        </w:tc>
        <w:tc>
          <w:tcPr>
            <w:tcW w:type="dxa" w:w="68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担当荷主の案件作成・更新、書類登録・承認、荷主ユーザー登録・割当、一般ユーザー表示への切替</w:t>
            </w:r>
          </w:p>
        </w:tc>
      </w:tr>
      <w:tr>
        <w:tc>
          <w:tcPr>
            <w:tcW w:type="dxa" w:w="25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スーパー管理者</w:t>
            </w:r>
          </w:p>
        </w:tc>
        <w:tc>
          <w:tcPr>
            <w:tcW w:type="dxa" w:w="68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全案件、荷主・管理者管理、標準フロー、評価レビュー、各アカウント表示への切替</w:t>
            </w:r>
          </w:p>
        </w:tc>
      </w:tr>
    </w:tbl>
    <w:p>
      <w:pPr>
        <w:spacing w:after="40"/>
      </w:pPr>
    </w:p>
    <w:p>
      <w:pPr>
        <w:pStyle w:val="Heading2"/>
      </w:pPr>
      <w:r>
        <w:t>1.2　安全に使うためのルール</w:t>
      </w:r>
    </w:p>
    <w:p>
      <w:pPr>
        <w:pStyle w:val="ListBullet"/>
      </w:pPr>
      <w:r>
        <w:t>共有アカウントを使わず、自分に発行されたアカウントでログインします。</w:t>
      </w:r>
    </w:p>
    <w:p>
      <w:pPr>
        <w:pStyle w:val="ListBullet"/>
      </w:pPr>
      <w:r>
        <w:t>パスワード、認証コード、ブラウザのセッション情報を他人に送らないでください。</w:t>
      </w:r>
    </w:p>
    <w:p>
      <w:pPr>
        <w:pStyle w:val="ListBullet"/>
      </w:pPr>
      <w:r>
        <w:t>書類には顧客情報が含まれることがあります。業務上必要な端末・場所でのみ閲覧し、不要な複製を作らないでください。</w:t>
      </w:r>
    </w:p>
    <w:p>
      <w:pPr>
        <w:pStyle w:val="ListBullet"/>
      </w:pPr>
      <w:r>
        <w:t>誤った荷主・案件・公開範囲へ書類を登録した場合は、直ちに管理者と保守窓口へ連絡してください。</w:t>
      </w:r>
    </w:p>
    <w:p>
      <w:pPr>
        <w:pStyle w:val="ListBullet"/>
      </w:pPr>
      <w:r>
        <w:t>離席時は端末をロックし、作業終了時はログアウトしてください。</w:t>
      </w:r>
    </w:p>
    <w:p>
      <w:pPr>
        <w:pStyle w:val="Heading1"/>
      </w:pPr>
      <w:r>
        <w:t>2　共通操作</w:t>
      </w:r>
    </w:p>
    <w:p>
      <w:pPr>
        <w:pStyle w:val="Heading2"/>
      </w:pPr>
      <w:r>
        <w:t>2.1　ログイン／ログアウト</w:t>
      </w:r>
    </w:p>
    <w:p>
      <w:pPr>
        <w:pStyle w:val="ListNumber"/>
        <w:numPr>
          <w:ilvl w:val="0"/>
          <w:numId w:val="10"/>
        </w:numPr>
      </w:pPr>
      <w:r>
        <w:t>CN NavigatorのURLを開きます。認証画面へ自動的に移動したら、登録済みの方法で認証します。</w:t>
      </w:r>
    </w:p>
    <w:p>
      <w:pPr>
        <w:pStyle w:val="ListNumber"/>
        <w:numPr>
          <w:ilvl w:val="0"/>
          <w:numId w:val="10"/>
        </w:numPr>
      </w:pPr>
      <w:r>
        <w:t>認証後、権限に応じて一般画面または管理画面が表示されます。画面が表示されない場合は、再読み込みを繰り返さず、登録メールアドレスと発生時刻を保守窓口へ連絡します。</w:t>
      </w:r>
    </w:p>
    <w:p>
      <w:pPr>
        <w:pStyle w:val="ListNumber"/>
        <w:numPr>
          <w:ilvl w:val="0"/>
          <w:numId w:val="10"/>
        </w:numPr>
      </w:pPr>
      <w:r>
        <w:t>終了するときは右上の［ログアウト］を選びます。共用端末ではブラウザも閉じてください。</w:t>
      </w:r>
    </w:p>
    <w:p>
      <w:pPr>
        <w:pStyle w:val="Heading2"/>
      </w:pPr>
      <w:r>
        <w:t>2.2　ヘッダーの操作</w:t>
      </w:r>
    </w:p>
    <w:tbl>
      <w:tblPr>
        <w:tblStyle w:val="TableGrid"/>
        <w:tblW w:type="dxa" w:w="9360"/>
        <w:tblLayout w:type="fixed"/>
        <w:tblLook w:firstColumn="1" w:firstRow="1" w:lastColumn="0" w:lastRow="0" w:noHBand="0" w:noVBand="1" w:val="04A0"/>
        <w:jc w:val="center"/>
        <w:tblInd w:w="120" w:type="dxa"/>
      </w:tblPr>
      <w:tblGrid>
        <w:gridCol w:w="2100"/>
        <w:gridCol w:w="7260"/>
      </w:tblGrid>
      <w:tr>
        <w:trPr>
          <w:tblHeader w:val="true"/>
        </w:trPr>
        <w:tc>
          <w:tcPr>
            <w:tcW w:type="dxa" w:w="210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8"/>
              </w:rPr>
              <w:t>操作</w:t>
            </w:r>
          </w:p>
        </w:tc>
        <w:tc>
          <w:tcPr>
            <w:tcW w:type="dxa" w:w="726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8"/>
              </w:rPr>
              <w:t>説明</w:t>
            </w:r>
          </w:p>
        </w:tc>
      </w:tr>
      <w:tr>
        <w:tc>
          <w:tcPr>
            <w:tcW w:type="dxa" w:w="21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メニュー</w:t>
            </w:r>
          </w:p>
        </w:tc>
        <w:tc>
          <w:tcPr>
            <w:tcW w:type="dxa" w:w="72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左サイドバーを開閉します。スマートフォンではオーバーレイ表示になります。</w:t>
            </w:r>
          </w:p>
        </w:tc>
      </w:tr>
      <w:tr>
        <w:tc>
          <w:tcPr>
            <w:tcW w:type="dxa" w:w="21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？（チュートリアル）</w:t>
            </w:r>
          </w:p>
        </w:tc>
        <w:tc>
          <w:tcPr>
            <w:tcW w:type="dxa" w:w="72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権限に合った操作ガイドを再表示します。初回は自動表示され、［今後表示しない］を選択できます。</w:t>
            </w:r>
          </w:p>
        </w:tc>
      </w:tr>
      <w:tr>
        <w:tc>
          <w:tcPr>
            <w:tcW w:type="dxa" w:w="21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言語</w:t>
            </w:r>
          </w:p>
        </w:tc>
        <w:tc>
          <w:tcPr>
            <w:tcW w:type="dxa" w:w="72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日本語と英語を切り替えます。</w:t>
            </w:r>
          </w:p>
        </w:tc>
      </w:tr>
      <w:tr>
        <w:tc>
          <w:tcPr>
            <w:tcW w:type="dxa" w:w="21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太陽／月</w:t>
            </w:r>
          </w:p>
        </w:tc>
        <w:tc>
          <w:tcPr>
            <w:tcW w:type="dxa" w:w="72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ライト／ダークテーマを切り替えます。</w:t>
            </w:r>
          </w:p>
        </w:tc>
      </w:tr>
      <w:tr>
        <w:tc>
          <w:tcPr>
            <w:tcW w:type="dxa" w:w="21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プロフィール</w:t>
            </w:r>
          </w:p>
        </w:tc>
        <w:tc>
          <w:tcPr>
            <w:tcW w:type="dxa" w:w="72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メールアドレスを確認し、プロフィール画像を登録・切り抜きできます。</w:t>
            </w:r>
          </w:p>
        </w:tc>
      </w:tr>
    </w:tbl>
    <w:p>
      <w:pPr>
        <w:spacing w:after="40"/>
      </w:pPr>
    </w:p>
    <w:p>
      <w:pPr>
        <w:pStyle w:val="Heading2"/>
      </w:pPr>
      <w:r>
        <w:t>2.3　表の共通機能</w:t>
      </w:r>
    </w:p>
    <w:p>
      <w:pPr>
        <w:pStyle w:val="ListBullet"/>
      </w:pPr>
      <w:r>
        <w:t>検索欄とステータス・取引形態・輸送形態・荷主などのフィルターを組み合わせられます。</w:t>
      </w:r>
    </w:p>
    <w:p>
      <w:pPr>
        <w:pStyle w:val="ListBullet"/>
      </w:pPr>
      <w:r>
        <w:t>列見出しを選択すると並べ替えできます。再度選択すると昇順／降順が切り替わります。</w:t>
      </w:r>
    </w:p>
    <w:p>
      <w:pPr>
        <w:pStyle w:val="ListBullet"/>
      </w:pPr>
      <w:r>
        <w:t>表示件数とページ移動を使い、件数の多い一覧を移動します。</w:t>
      </w:r>
    </w:p>
    <w:p>
      <w:pPr>
        <w:pStyle w:val="ListBullet"/>
      </w:pPr>
      <w:r>
        <w:t>列設定、固定ヘッダー、横スクロール案内が表示される表では、必要な列と表示方法を調整できます。</w:t>
      </w:r>
    </w:p>
    <w:p>
      <w:pPr>
        <w:pStyle w:val="ListBullet"/>
      </w:pPr>
      <w:r>
        <w:t>検索結果がない場合は、検索語を短くするか、フィルターを［すべて］に戻します。</w:t>
      </w:r>
    </w:p>
    <w:p>
      <w:pPr>
        <w:pStyle w:val="Heading1"/>
      </w:pPr>
      <w:r>
        <w:t>3　一般ユーザー／荷主ユーザー</w:t>
      </w:r>
    </w:p>
    <w:p>
      <w:pPr>
        <w:pStyle w:val="Heading2"/>
      </w:pPr>
      <w:r>
        <w:t>3.1　出荷案件を探す</w:t>
      </w:r>
    </w:p>
    <w:p>
      <w:pPr>
        <w:pStyle w:val="ListNumber"/>
        <w:numPr>
          <w:ilvl w:val="0"/>
          <w:numId w:val="11"/>
        </w:numPr>
      </w:pPr>
      <w:r>
        <w:t>［出荷案件］を開き、上部カードで総件数、通関保留、配送済み、書類承認待ちを確認します。</w:t>
      </w:r>
    </w:p>
    <w:p>
      <w:pPr>
        <w:pStyle w:val="ListNumber"/>
        <w:numPr>
          <w:ilvl w:val="0"/>
          <w:numId w:val="11"/>
        </w:numPr>
      </w:pPr>
      <w:r>
        <w:t>検索欄にインボイス番号、荷主・荷受人、担当者、出発地・到着地、BL/AWB番号または書類名を入力します。</w:t>
      </w:r>
    </w:p>
    <w:p>
      <w:pPr>
        <w:pStyle w:val="ListNumber"/>
        <w:numPr>
          <w:ilvl w:val="0"/>
          <w:numId w:val="11"/>
        </w:numPr>
      </w:pPr>
      <w:r>
        <w:t>必要に応じてステータス、取引形態、輸送形態を選択します。</w:t>
      </w:r>
    </w:p>
    <w:p>
      <w:pPr>
        <w:pStyle w:val="ListNumber"/>
        <w:numPr>
          <w:ilvl w:val="0"/>
          <w:numId w:val="11"/>
        </w:numPr>
      </w:pPr>
      <w:r>
        <w:t>一覧の詳細ボタンから案件詳細を開きます。一般ユーザーには、自分の荷主に紐づく案件のみ表示されます。</w:t>
      </w:r>
    </w:p>
    <w:p>
      <w:pPr>
        <w:pStyle w:val="Heading2"/>
      </w:pPr>
      <w:r>
        <w:t>3.2　案件詳細を確認する</w:t>
      </w:r>
    </w:p>
    <w:p>
      <w:pPr>
        <w:pStyle w:val="ListBullet"/>
      </w:pPr>
      <w:r>
        <w:t>出荷情報：案件番号、インボイス、取引・輸送形態、数量・重量・容積、担当者。</w:t>
      </w:r>
    </w:p>
    <w:p>
      <w:pPr>
        <w:pStyle w:val="ListBullet"/>
      </w:pPr>
      <w:r>
        <w:t>ルート／BL：出発地・到着地、船名／便名、BL／AWB、日付情報。</w:t>
      </w:r>
    </w:p>
    <w:p>
      <w:pPr>
        <w:pStyle w:val="ListBullet"/>
      </w:pPr>
      <w:r>
        <w:t>関係者：荷主、荷受人、通知先等。</w:t>
      </w:r>
    </w:p>
    <w:p>
      <w:pPr>
        <w:pStyle w:val="ListBullet"/>
      </w:pPr>
      <w:r>
        <w:t>進捗：現在ステータス、標準フローに沿ったイベント、各ステータスの期間。</w:t>
      </w:r>
    </w:p>
    <w:p>
      <w:pPr>
        <w:pStyle w:val="ListBullet"/>
      </w:pPr>
      <w:r>
        <w:t>書類：顧客向けとして公開された書類と承認状態。内部書類は一般ユーザーには表示されません。</w:t>
      </w:r>
    </w:p>
    <w:p>
      <w:pPr>
        <w:pStyle w:val="Heading2"/>
      </w:pPr>
      <w:r>
        <w:t>3.3　書類を申請・ダウンロードする</w:t>
      </w:r>
    </w:p>
    <w:p>
      <w:pPr>
        <w:pStyle w:val="ListNumber"/>
        <w:numPr>
          <w:ilvl w:val="0"/>
          <w:numId w:val="12"/>
        </w:numPr>
      </w:pPr>
      <w:r>
        <w:t>案件詳細の書類欄で、対象書類と承認状態を確認します。</w:t>
      </w:r>
    </w:p>
    <w:p>
      <w:pPr>
        <w:pStyle w:val="ListNumber"/>
        <w:numPr>
          <w:ilvl w:val="0"/>
          <w:numId w:val="12"/>
        </w:numPr>
      </w:pPr>
      <w:r>
        <w:t>［未申請］の場合は［DL申請］を選択します。複数書類をまとめて申請できる画面では対象を確認して一括申請します。</w:t>
      </w:r>
    </w:p>
    <w:p>
      <w:pPr>
        <w:pStyle w:val="ListNumber"/>
        <w:numPr>
          <w:ilvl w:val="0"/>
          <w:numId w:val="12"/>
        </w:numPr>
      </w:pPr>
      <w:r>
        <w:t>［承認中］の間は管理者の確認を待ちます。却下された場合は、業務担当者へ理由と再申請可否を確認します。</w:t>
      </w:r>
    </w:p>
    <w:p>
      <w:pPr>
        <w:pStyle w:val="ListNumber"/>
        <w:numPr>
          <w:ilvl w:val="0"/>
          <w:numId w:val="12"/>
        </w:numPr>
      </w:pPr>
      <w:r>
        <w:t>［承認済み］になったら［ダウンロード］を選択します。承認後のダウンロード可能期間は3日間です。期限切れの場合は再度申請します。</w:t>
      </w:r>
    </w:p>
    <w:p>
      <w:pPr>
        <w:pStyle w:val="ListNumber"/>
        <w:numPr>
          <w:ilvl w:val="0"/>
          <w:numId w:val="12"/>
        </w:numPr>
      </w:pPr>
      <w:r>
        <w:t>保存したファイルは顧客情報として取り扱い、不要になったら社内ルールに従って削除します。</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7DC"/>
          </w:tcPr>
          <w:p>
            <w:pPr>
              <w:spacing w:after="0"/>
            </w:pPr>
            <w:r>
              <w:rPr>
                <w:rFonts w:ascii="Hiragino Sans" w:hAnsi="Hiragino Sans" w:eastAsia="Hiragino Sans"/>
                <w:b/>
                <w:color w:val="7A5A00"/>
                <w:sz w:val="20"/>
              </w:rPr>
              <w:t xml:space="preserve">注意  </w:t>
            </w:r>
            <w:r>
              <w:rPr>
                <w:rFonts w:ascii="Hiragino Sans" w:hAnsi="Hiragino Sans" w:eastAsia="Hiragino Sans"/>
                <w:b w:val="0"/>
                <w:color w:val="172033"/>
                <w:sz w:val="20"/>
              </w:rPr>
              <w:t>ブラウザのポップアップ・ダウンロード制限により保存が始まらない場合があります。制限を確認しても解決しない場合は、書類名、案件番号、承認状態、発生時刻を連絡してください。</w:t>
            </w:r>
          </w:p>
        </w:tc>
      </w:tr>
    </w:tbl>
    <w:p>
      <w:pPr>
        <w:spacing w:after="20"/>
      </w:pPr>
    </w:p>
    <w:p>
      <w:pPr>
        <w:pStyle w:val="Heading2"/>
      </w:pPr>
      <w:r>
        <w:t>3.4　案件を評価する</w:t>
      </w:r>
    </w:p>
    <w:p>
      <w:pPr>
        <w:pStyle w:val="ListNumber"/>
        <w:numPr>
          <w:ilvl w:val="0"/>
          <w:numId w:val="13"/>
        </w:numPr>
      </w:pPr>
      <w:r>
        <w:t>案件詳細の［評価を入力］を選択します。</w:t>
      </w:r>
    </w:p>
    <w:p>
      <w:pPr>
        <w:pStyle w:val="ListNumber"/>
        <w:numPr>
          <w:ilvl w:val="0"/>
          <w:numId w:val="13"/>
        </w:numPr>
      </w:pPr>
      <w:r>
        <w:t>営業・オペレーションそれぞれについて、対応態度、専門性、スピード、正確性、価格を評価し、必要に応じて理由を記入します。</w:t>
      </w:r>
    </w:p>
    <w:p>
      <w:pPr>
        <w:pStyle w:val="ListNumber"/>
        <w:numPr>
          <w:ilvl w:val="0"/>
          <w:numId w:val="13"/>
        </w:numPr>
      </w:pPr>
      <w:r>
        <w:t>確認画面で対象を確認して送信します。評価は案件ごとに一度だけ送信でき、送信後は変更できません。</w:t>
      </w:r>
    </w:p>
    <w:p>
      <w:pPr>
        <w:pStyle w:val="Heading1"/>
      </w:pPr>
      <w:r>
        <w:t>4　管理者</w:t>
      </w:r>
    </w:p>
    <w:p>
      <w:pPr>
        <w:pStyle w:val="Heading2"/>
      </w:pPr>
      <w:r>
        <w:t>4.1　担当範囲</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Hiragino Sans" w:hAnsi="Hiragino Sans" w:eastAsia="Hiragino Sans"/>
                <w:b/>
                <w:color w:val="1F4D78"/>
                <w:sz w:val="20"/>
              </w:rPr>
              <w:t xml:space="preserve">権限  </w:t>
            </w:r>
            <w:r>
              <w:rPr>
                <w:rFonts w:ascii="Hiragino Sans" w:hAnsi="Hiragino Sans" w:eastAsia="Hiragino Sans"/>
                <w:b w:val="0"/>
                <w:color w:val="172033"/>
                <w:sz w:val="20"/>
              </w:rPr>
              <w:t>管理者は原則として、自分に割り当てられた荷主・案件を扱います。表示だけでなく、データベース側の権限でも制限されます。意図しない案件が見える／必要な案件が見えない場合は、割当を確認してください。</w:t>
            </w:r>
          </w:p>
        </w:tc>
      </w:tr>
    </w:tbl>
    <w:p>
      <w:pPr>
        <w:spacing w:after="20"/>
      </w:pPr>
    </w:p>
    <w:p>
      <w:pPr>
        <w:pStyle w:val="Heading2"/>
      </w:pPr>
      <w:r>
        <w:t>4.2　出荷案件を作成する</w:t>
      </w:r>
    </w:p>
    <w:p>
      <w:pPr>
        <w:pStyle w:val="ListNumber"/>
        <w:numPr>
          <w:ilvl w:val="0"/>
          <w:numId w:val="14"/>
        </w:numPr>
      </w:pPr>
      <w:r>
        <w:t>管理画面の［出荷案件管理］を開き、［新規作成］を選択します。</w:t>
      </w:r>
    </w:p>
    <w:p>
      <w:pPr>
        <w:pStyle w:val="ListNumber"/>
        <w:numPr>
          <w:ilvl w:val="0"/>
          <w:numId w:val="14"/>
        </w:numPr>
      </w:pPr>
      <w:r>
        <w:t>荷主、取引形態、輸送形態、インボイス番号、荷主・荷受人、ルート、日付、BL/AWB、船名／便名、貨物情報など必要項目を入力します。</w:t>
      </w:r>
    </w:p>
    <w:p>
      <w:pPr>
        <w:pStyle w:val="ListNumber"/>
        <w:numPr>
          <w:ilvl w:val="0"/>
          <w:numId w:val="14"/>
        </w:numPr>
      </w:pPr>
      <w:r>
        <w:t>標準フローを選び、現在ステータスと進捗を確認します。複数の標準フローがある場合は業務に合うものを選びます。</w:t>
      </w:r>
    </w:p>
    <w:p>
      <w:pPr>
        <w:pStyle w:val="ListNumber"/>
        <w:numPr>
          <w:ilvl w:val="0"/>
          <w:numId w:val="14"/>
        </w:numPr>
      </w:pPr>
      <w:r>
        <w:t>顧客向け書類と内部書類の区分を確認して登録します。公開範囲を取り違えないでください。</w:t>
      </w:r>
    </w:p>
    <w:p>
      <w:pPr>
        <w:pStyle w:val="ListNumber"/>
        <w:numPr>
          <w:ilvl w:val="0"/>
          <w:numId w:val="14"/>
        </w:numPr>
      </w:pPr>
      <w:r>
        <w:t>保存後に一覧と詳細を開き、荷主、担当管理者、ステータス、書類範囲を再確認します。</w:t>
      </w:r>
    </w:p>
    <w:p>
      <w:pPr>
        <w:pStyle w:val="Heading2"/>
      </w:pPr>
      <w:r>
        <w:t>4.3　出荷案件を更新する</w:t>
      </w:r>
    </w:p>
    <w:p>
      <w:pPr>
        <w:pStyle w:val="ListNumber"/>
        <w:numPr>
          <w:ilvl w:val="0"/>
          <w:numId w:val="15"/>
        </w:numPr>
      </w:pPr>
      <w:r>
        <w:t>一覧で検索・絞り込みを行い、対象案件を開きます。</w:t>
      </w:r>
    </w:p>
    <w:p>
      <w:pPr>
        <w:pStyle w:val="ListNumber"/>
        <w:numPr>
          <w:ilvl w:val="0"/>
          <w:numId w:val="15"/>
        </w:numPr>
      </w:pPr>
      <w:r>
        <w:t>編集を選び、変更する項目だけを更新します。ステータスを進める前に実際の業務進捗を確認してください。</w:t>
      </w:r>
    </w:p>
    <w:p>
      <w:pPr>
        <w:pStyle w:val="ListNumber"/>
        <w:numPr>
          <w:ilvl w:val="0"/>
          <w:numId w:val="15"/>
        </w:numPr>
      </w:pPr>
      <w:r>
        <w:t>書類を追加・削除するときは顧客向け／内部の区分とファイル名を確認します。削除はソフト削除され、通常の書類台帳から非表示になります。</w:t>
      </w:r>
    </w:p>
    <w:p>
      <w:pPr>
        <w:pStyle w:val="ListNumber"/>
        <w:numPr>
          <w:ilvl w:val="0"/>
          <w:numId w:val="15"/>
        </w:numPr>
      </w:pPr>
      <w:r>
        <w:t>保存後、一覧と一般ユーザー表示で反映結果を確認します。</w:t>
      </w:r>
    </w:p>
    <w:p>
      <w:pPr>
        <w:pStyle w:val="Heading2"/>
      </w:pPr>
      <w:r>
        <w:t>4.4　書類ダウンロード申請を処理する</w:t>
      </w:r>
    </w:p>
    <w:p>
      <w:pPr>
        <w:pStyle w:val="ListNumber"/>
        <w:numPr>
          <w:ilvl w:val="0"/>
          <w:numId w:val="16"/>
        </w:numPr>
      </w:pPr>
      <w:r>
        <w:t>ダッシュボードの［書類DL承認待ち］または出荷案件管理の承認待ち条件を開きます。</w:t>
      </w:r>
    </w:p>
    <w:p>
      <w:pPr>
        <w:pStyle w:val="ListNumber"/>
        <w:numPr>
          <w:ilvl w:val="0"/>
          <w:numId w:val="16"/>
        </w:numPr>
      </w:pPr>
      <w:r>
        <w:t>対象案件、申請者、書類名、顧客向け書類であることを確認します。</w:t>
      </w:r>
    </w:p>
    <w:p>
      <w:pPr>
        <w:pStyle w:val="ListNumber"/>
        <w:numPr>
          <w:ilvl w:val="0"/>
          <w:numId w:val="16"/>
        </w:numPr>
      </w:pPr>
      <w:r>
        <w:t>業務上の必要性と公開可否を確認し、承認または却下します。</w:t>
      </w:r>
    </w:p>
    <w:p>
      <w:pPr>
        <w:pStyle w:val="ListNumber"/>
        <w:numPr>
          <w:ilvl w:val="0"/>
          <w:numId w:val="16"/>
        </w:numPr>
      </w:pPr>
      <w:r>
        <w:t>承認後は一般ユーザーが3日間ダウンロードできます。誤承認に気付いた場合は直ちに保守窓口へ連絡し、対象を特定します。</w:t>
      </w:r>
    </w:p>
    <w:p>
      <w:pPr>
        <w:pStyle w:val="Heading2"/>
      </w:pPr>
      <w:r>
        <w:t>4.5　荷主ユーザーを登録・管理する</w:t>
      </w:r>
    </w:p>
    <w:p>
      <w:pPr>
        <w:pStyle w:val="ListNumber"/>
        <w:numPr>
          <w:ilvl w:val="0"/>
          <w:numId w:val="17"/>
        </w:numPr>
      </w:pPr>
      <w:r>
        <w:t>［荷主ユーザー登録］を開き、会社名、氏名、メールアドレス、住所等の必要項目を入力します。メールアドレスは余分な空白を除き、正しい宛先か確認します。</w:t>
      </w:r>
    </w:p>
    <w:p>
      <w:pPr>
        <w:pStyle w:val="ListNumber"/>
        <w:numPr>
          <w:ilvl w:val="0"/>
          <w:numId w:val="17"/>
        </w:numPr>
      </w:pPr>
      <w:r>
        <w:t>担当管理者を割り当てます。管理者の場合、操作できる範囲は自分の担当荷主に制限されます。</w:t>
      </w:r>
    </w:p>
    <w:p>
      <w:pPr>
        <w:pStyle w:val="ListNumber"/>
        <w:numPr>
          <w:ilvl w:val="0"/>
          <w:numId w:val="17"/>
        </w:numPr>
      </w:pPr>
      <w:r>
        <w:t>承認状態（承認待ち／承認済み／却下）を確認し、必要な確認後に更新します。</w:t>
      </w:r>
    </w:p>
    <w:p>
      <w:pPr>
        <w:pStyle w:val="ListNumber"/>
        <w:numPr>
          <w:ilvl w:val="0"/>
          <w:numId w:val="17"/>
        </w:numPr>
      </w:pPr>
      <w:r>
        <w:t>退職・契約終了・誤登録が判明した場合は、運用責任者へ連絡し、不要アカウントを速やかに無効化します。</w:t>
      </w:r>
    </w:p>
    <w:p>
      <w:pPr>
        <w:pStyle w:val="Heading2"/>
      </w:pPr>
      <w:r>
        <w:t>4.6　一般ユーザー表示に切り替える</w:t>
      </w:r>
    </w:p>
    <w:p>
      <w:pPr>
        <w:pStyle w:val="ListNumber"/>
        <w:numPr>
          <w:ilvl w:val="0"/>
          <w:numId w:val="18"/>
        </w:numPr>
      </w:pPr>
      <w:r>
        <w:t>ヘッダーのアカウント選択から、確認したい荷主ユーザーを選びます。</w:t>
      </w:r>
    </w:p>
    <w:p>
      <w:pPr>
        <w:pStyle w:val="ListNumber"/>
        <w:numPr>
          <w:ilvl w:val="0"/>
          <w:numId w:val="18"/>
        </w:numPr>
      </w:pPr>
      <w:r>
        <w:t>［現在切替中］の表示と対象名を確認します。切替中に見える案件・書類が想定どおりか確認します。</w:t>
      </w:r>
    </w:p>
    <w:p>
      <w:pPr>
        <w:pStyle w:val="ListNumber"/>
        <w:numPr>
          <w:ilvl w:val="0"/>
          <w:numId w:val="18"/>
        </w:numPr>
      </w:pPr>
      <w:r>
        <w:t>確認後は［管理画面に戻る］を必ず選びます。切替中の画面を開いたまま他の人へ端末を渡さないでください。</w:t>
      </w:r>
    </w:p>
    <w:p>
      <w:pPr>
        <w:pStyle w:val="Heading1"/>
      </w:pPr>
      <w:r>
        <w:t>5　スーパー管理者</w:t>
      </w:r>
    </w:p>
    <w:p>
      <w:pPr>
        <w:pStyle w:val="Heading2"/>
      </w:pPr>
      <w:r>
        <w:t>5.1　管理者オペレーター</w:t>
      </w:r>
    </w:p>
    <w:p>
      <w:pPr>
        <w:pStyle w:val="ListBullet"/>
      </w:pPr>
      <w:r>
        <w:t>管理者の登録、更新、ソフト削除と、営業・オペレーション等の複数担当ロールを管理します。</w:t>
      </w:r>
    </w:p>
    <w:p>
      <w:pPr>
        <w:pStyle w:val="ListBullet"/>
      </w:pPr>
      <w:r>
        <w:t>初期パスワードは機密情報です。画面共有、チャット、通常メール、マニュアルへ転記しないでください。安全な別経路で本人へ伝達し、初回利用後の変更を求めます。</w:t>
      </w:r>
    </w:p>
    <w:p>
      <w:pPr>
        <w:pStyle w:val="ListBullet"/>
      </w:pPr>
      <w:r>
        <w:t>荷主と管理者の割当を更新したら、管理者表示と一般ユーザー切替の双方で範囲を確認します。</w:t>
      </w:r>
    </w:p>
    <w:p>
      <w:pPr>
        <w:pStyle w:val="Heading2"/>
      </w:pPr>
      <w:r>
        <w:t>5.2　標準フロー</w:t>
      </w:r>
    </w:p>
    <w:p>
      <w:pPr>
        <w:pStyle w:val="ListNumber"/>
        <w:numPr>
          <w:ilvl w:val="0"/>
          <w:numId w:val="19"/>
        </w:numPr>
      </w:pPr>
      <w:r>
        <w:t>［標準フロー管理］を開き、業務別のフローとステップを確認します。</w:t>
      </w:r>
    </w:p>
    <w:p>
      <w:pPr>
        <w:pStyle w:val="ListNumber"/>
        <w:numPr>
          <w:ilvl w:val="0"/>
          <w:numId w:val="19"/>
        </w:numPr>
      </w:pPr>
      <w:r>
        <w:t>新規フローまたはステップを作成し、表示名、順序、有効状態、色を設定します。</w:t>
      </w:r>
    </w:p>
    <w:p>
      <w:pPr>
        <w:pStyle w:val="ListNumber"/>
        <w:numPr>
          <w:ilvl w:val="0"/>
          <w:numId w:val="19"/>
        </w:numPr>
      </w:pPr>
      <w:r>
        <w:t>既存案件への影響を確認して保存します。削除はソフト削除であり、過去データとの整合を考慮します。</w:t>
      </w:r>
    </w:p>
    <w:p>
      <w:pPr>
        <w:pStyle w:val="ListNumber"/>
        <w:numPr>
          <w:ilvl w:val="0"/>
          <w:numId w:val="19"/>
        </w:numPr>
      </w:pPr>
      <w:r>
        <w:t>日本語と英語の画面で、名称と表示順を確認します。</w:t>
      </w:r>
    </w:p>
    <w:p>
      <w:pPr>
        <w:pStyle w:val="Heading2"/>
      </w:pPr>
      <w:r>
        <w:t>5.3　評価レビュー</w:t>
      </w:r>
    </w:p>
    <w:p>
      <w:pPr>
        <w:pStyle w:val="ListBullet"/>
      </w:pPr>
      <w:r>
        <w:t>営業・オペレーション別の評価、各評価項目、平均、理由、送信者、日付を一覧で確認できます。</w:t>
      </w:r>
    </w:p>
    <w:p>
      <w:pPr>
        <w:pStyle w:val="ListBullet"/>
      </w:pPr>
      <w:r>
        <w:t>検索、並べ替え、列設定、ページ移動を使って対象を特定します。</w:t>
      </w:r>
    </w:p>
    <w:p>
      <w:pPr>
        <w:pStyle w:val="ListBullet"/>
      </w:pPr>
      <w:r>
        <w:t>評価理由には個人情報やセンシティブな記載が含まれる可能性があるため、必要な範囲だけで共有します。</w:t>
      </w:r>
    </w:p>
    <w:p>
      <w:pPr>
        <w:pStyle w:val="Heading2"/>
      </w:pPr>
      <w:r>
        <w:t>5.4　アカウント切替</w:t>
      </w:r>
    </w:p>
    <w:p>
      <w:pPr>
        <w:pStyle w:val="ListBullet"/>
      </w:pPr>
      <w:r>
        <w:t>スーパー管理者は、管理者オペレーターまたは荷主ユーザーの表示へ切り替えられます。</w:t>
      </w:r>
    </w:p>
    <w:p>
      <w:pPr>
        <w:pStyle w:val="ListBullet"/>
      </w:pPr>
      <w:r>
        <w:t>切替先の権限で実データを操作できる場合があります。確認目的では保存・承認・削除を行わないでください。</w:t>
      </w:r>
    </w:p>
    <w:p>
      <w:pPr>
        <w:pStyle w:val="ListBullet"/>
      </w:pPr>
      <w:r>
        <w:t>作業後は必ず元の管理画面へ戻り、表示中アカウントを再確認します。</w:t>
      </w:r>
    </w:p>
    <w:p>
      <w:pPr>
        <w:pStyle w:val="Heading1"/>
      </w:pPr>
      <w:r>
        <w:t>6　トラブル対応</w:t>
      </w:r>
    </w:p>
    <w:tbl>
      <w:tblPr>
        <w:tblStyle w:val="TableGrid"/>
        <w:tblW w:type="dxa" w:w="9360"/>
        <w:tblLayout w:type="fixed"/>
        <w:tblLook w:firstColumn="1" w:firstRow="1" w:lastColumn="0" w:lastRow="0" w:noHBand="0" w:noVBand="1" w:val="04A0"/>
        <w:jc w:val="center"/>
        <w:tblInd w:w="120" w:type="dxa"/>
      </w:tblPr>
      <w:tblGrid>
        <w:gridCol w:w="1850"/>
        <w:gridCol w:w="3860"/>
        <w:gridCol w:w="3650"/>
      </w:tblGrid>
      <w:tr>
        <w:trPr>
          <w:tblHeader w:val="true"/>
        </w:trPr>
        <w:tc>
          <w:tcPr>
            <w:tcW w:type="dxa" w:w="185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7"/>
              </w:rPr>
              <w:t>症状</w:t>
            </w:r>
          </w:p>
        </w:tc>
        <w:tc>
          <w:tcPr>
            <w:tcW w:type="dxa" w:w="386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7"/>
              </w:rPr>
              <w:t>最初に行うこと</w:t>
            </w:r>
          </w:p>
        </w:tc>
        <w:tc>
          <w:tcPr>
            <w:tcW w:type="dxa" w:w="365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7"/>
              </w:rPr>
              <w:t>連絡時の情報</w:t>
            </w:r>
          </w:p>
        </w:tc>
      </w:tr>
      <w:tr>
        <w:tc>
          <w:tcPr>
            <w:tcW w:type="dxa" w:w="185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ログインできない</w:t>
            </w:r>
          </w:p>
        </w:tc>
        <w:tc>
          <w:tcPr>
            <w:tcW w:type="dxa" w:w="38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URL、ネットワーク、認証画面、登録メールを確認。認証情報を送らない。</w:t>
            </w:r>
          </w:p>
        </w:tc>
        <w:tc>
          <w:tcPr>
            <w:tcW w:type="dxa" w:w="365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時刻、登録メール、エラー文、利用端末・ブラウザ</w:t>
            </w:r>
          </w:p>
        </w:tc>
      </w:tr>
      <w:tr>
        <w:tc>
          <w:tcPr>
            <w:tcW w:type="dxa" w:w="185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案件が見えない</w:t>
            </w:r>
          </w:p>
        </w:tc>
        <w:tc>
          <w:tcPr>
            <w:tcW w:type="dxa" w:w="38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荷主名、担当割当、検索・フィルターを確認。</w:t>
            </w:r>
          </w:p>
        </w:tc>
        <w:tc>
          <w:tcPr>
            <w:tcW w:type="dxa" w:w="365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案件番号、荷主、利用者区分、期待する表示範囲</w:t>
            </w:r>
          </w:p>
        </w:tc>
      </w:tr>
      <w:tr>
        <w:tc>
          <w:tcPr>
            <w:tcW w:type="dxa" w:w="185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書類が見えない</w:t>
            </w:r>
          </w:p>
        </w:tc>
        <w:tc>
          <w:tcPr>
            <w:tcW w:type="dxa" w:w="38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顧客向け／内部、承認状態、削除状態を管理者が確認。</w:t>
            </w:r>
          </w:p>
        </w:tc>
        <w:tc>
          <w:tcPr>
            <w:tcW w:type="dxa" w:w="365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案件番号、書類名、承認状態、申請日時</w:t>
            </w:r>
          </w:p>
        </w:tc>
      </w:tr>
      <w:tr>
        <w:tc>
          <w:tcPr>
            <w:tcW w:type="dxa" w:w="185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ダウンロード不可</w:t>
            </w:r>
          </w:p>
        </w:tc>
        <w:tc>
          <w:tcPr>
            <w:tcW w:type="dxa" w:w="38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承認済みか、承認後3日以内か、ブラウザ制限を確認。</w:t>
            </w:r>
          </w:p>
        </w:tc>
        <w:tc>
          <w:tcPr>
            <w:tcW w:type="dxa" w:w="365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書類名、承認日時、ボタン表示、エラー文</w:t>
            </w:r>
          </w:p>
        </w:tc>
      </w:tr>
      <w:tr>
        <w:tc>
          <w:tcPr>
            <w:tcW w:type="dxa" w:w="185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保存・更新に失敗</w:t>
            </w:r>
          </w:p>
        </w:tc>
        <w:tc>
          <w:tcPr>
            <w:tcW w:type="dxa" w:w="38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入力必須項目とネットワークを確認。連打せず、一覧で反映有無を確認。</w:t>
            </w:r>
          </w:p>
        </w:tc>
        <w:tc>
          <w:tcPr>
            <w:tcW w:type="dxa" w:w="365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操作、対象、時刻、エラー文、直前の変更</w:t>
            </w:r>
          </w:p>
        </w:tc>
      </w:tr>
      <w:tr>
        <w:tc>
          <w:tcPr>
            <w:tcW w:type="dxa" w:w="185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誤公開・漏えい疑い</w:t>
            </w:r>
          </w:p>
        </w:tc>
        <w:tc>
          <w:tcPr>
            <w:tcW w:type="dxa" w:w="38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操作を止め、対象を記録し、社内責任者と緊急窓口へ直ちに連絡。</w:t>
            </w:r>
          </w:p>
        </w:tc>
        <w:tc>
          <w:tcPr>
            <w:tcW w:type="dxa" w:w="365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発見時刻、対象、閲覧可能者、実施済みの応急措置</w:t>
            </w:r>
          </w:p>
        </w:tc>
      </w:tr>
    </w:tbl>
    <w:p>
      <w:pPr>
        <w:spacing w:after="40"/>
      </w:pPr>
    </w:p>
    <w:p>
      <w:pPr>
        <w:pStyle w:val="Heading2"/>
      </w:pPr>
      <w:r>
        <w:t>6.1　問い合わせの重大度</w:t>
      </w:r>
    </w:p>
    <w:tbl>
      <w:tblPr>
        <w:tblStyle w:val="TableGrid"/>
        <w:tblW w:type="dxa" w:w="9360"/>
        <w:tblLayout w:type="fixed"/>
        <w:tblLook w:firstColumn="1" w:firstRow="1" w:lastColumn="0" w:lastRow="0" w:noHBand="0" w:noVBand="1" w:val="04A0"/>
        <w:jc w:val="center"/>
        <w:tblInd w:w="120" w:type="dxa"/>
      </w:tblPr>
      <w:tblGrid>
        <w:gridCol w:w="1800"/>
        <w:gridCol w:w="7560"/>
      </w:tblGrid>
      <w:tr>
        <w:trPr>
          <w:tblHeader w:val="true"/>
        </w:trPr>
        <w:tc>
          <w:tcPr>
            <w:tcW w:type="dxa" w:w="180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8"/>
              </w:rPr>
              <w:t>重大度</w:t>
            </w:r>
          </w:p>
        </w:tc>
        <w:tc>
          <w:tcPr>
            <w:tcW w:type="dxa" w:w="756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8"/>
              </w:rPr>
              <w:t>利用者向け目安</w:t>
            </w:r>
          </w:p>
        </w:tc>
      </w:tr>
      <w:tr>
        <w:tc>
          <w:tcPr>
            <w:tcW w:type="dxa" w:w="18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S1 緊急</w:t>
            </w:r>
          </w:p>
        </w:tc>
        <w:tc>
          <w:tcPr>
            <w:tcW w:type="dxa" w:w="75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全員が利用不可、主要業務停止、重大な漏えい疑い、代替手段なし</w:t>
            </w:r>
          </w:p>
        </w:tc>
      </w:tr>
      <w:tr>
        <w:tc>
          <w:tcPr>
            <w:tcW w:type="dxa" w:w="18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S2 高</w:t>
            </w:r>
          </w:p>
        </w:tc>
        <w:tc>
          <w:tcPr>
            <w:tcW w:type="dxa" w:w="75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複数人または重要機能に大きな影響、限定的な代替手段あり</w:t>
            </w:r>
          </w:p>
        </w:tc>
      </w:tr>
      <w:tr>
        <w:tc>
          <w:tcPr>
            <w:tcW w:type="dxa" w:w="18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S3 中</w:t>
            </w:r>
          </w:p>
        </w:tc>
        <w:tc>
          <w:tcPr>
            <w:tcW w:type="dxa" w:w="75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一部機能の不具合だが業務継続可能</w:t>
            </w:r>
          </w:p>
        </w:tc>
      </w:tr>
      <w:tr>
        <w:tc>
          <w:tcPr>
            <w:tcW w:type="dxa" w:w="18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S4 低</w:t>
            </w:r>
          </w:p>
        </w:tc>
        <w:tc>
          <w:tcPr>
            <w:tcW w:type="dxa" w:w="75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操作質問、軽微な表示、改善要望</w:t>
            </w:r>
          </w:p>
        </w:tc>
      </w:tr>
    </w:tbl>
    <w:p>
      <w:pPr>
        <w:spacing w:after="40"/>
      </w:pPr>
    </w:p>
    <w:p>
      <w:pPr>
        <w:pStyle w:val="Heading2"/>
      </w:pPr>
      <w:r>
        <w:t>6.2　問い合わせテンプレート</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Hiragino Sans" w:hAnsi="Hiragino Sans" w:eastAsia="Hiragino Sans"/>
                <w:b/>
                <w:color w:val="1F4D78"/>
                <w:sz w:val="20"/>
              </w:rPr>
              <w:t xml:space="preserve">件名  </w:t>
            </w:r>
            <w:r>
              <w:rPr>
                <w:rFonts w:ascii="Hiragino Sans" w:hAnsi="Hiragino Sans" w:eastAsia="Hiragino Sans"/>
                <w:b w:val="0"/>
                <w:color w:val="172033"/>
                <w:sz w:val="20"/>
              </w:rPr>
              <w:t>［S1〜S4］CN Navigator／症状の要約／発生日時</w:t>
            </w:r>
          </w:p>
        </w:tc>
      </w:tr>
    </w:tbl>
    <w:p>
      <w:pPr>
        <w:spacing w:after="20"/>
      </w:pPr>
    </w:p>
    <w:p>
      <w:pPr>
        <w:pStyle w:val="ListBullet"/>
      </w:pPr>
      <w:r>
        <w:t>会社・部署／氏名／連絡先</w:t>
      </w:r>
    </w:p>
    <w:p>
      <w:pPr>
        <w:pStyle w:val="ListBullet"/>
      </w:pPr>
      <w:r>
        <w:t>利用者区分：スーパー管理者・管理者・一般ユーザー</w:t>
      </w:r>
    </w:p>
    <w:p>
      <w:pPr>
        <w:pStyle w:val="ListBullet"/>
      </w:pPr>
      <w:r>
        <w:t>発生日時、現在も継続しているか、影響人数</w:t>
      </w:r>
    </w:p>
    <w:p>
      <w:pPr>
        <w:pStyle w:val="ListBullet"/>
      </w:pPr>
      <w:r>
        <w:t>対象：案件番号、インボイス番号、書類名（顧客名など不要な個人情報は記載しない）</w:t>
      </w:r>
    </w:p>
    <w:p>
      <w:pPr>
        <w:pStyle w:val="ListBullet"/>
      </w:pPr>
      <w:r>
        <w:t>操作手順、期待結果、実際の結果、エラー文</w:t>
      </w:r>
    </w:p>
    <w:p>
      <w:pPr>
        <w:pStyle w:val="ListBullet"/>
      </w:pPr>
      <w:r>
        <w:t>再現頻度、直前の変更、試した対処</w:t>
      </w:r>
    </w:p>
    <w:p>
      <w:pPr>
        <w:pStyle w:val="ListBullet"/>
      </w:pPr>
      <w:r>
        <w:t>機密情報をマスクした画面画像（パスワード・認証コード・個人データは含めない）</w:t>
      </w:r>
    </w:p>
    <w:p>
      <w:pPr>
        <w:pStyle w:val="Heading1"/>
      </w:pPr>
      <w:r>
        <w:t>7　運用チェックリスト</w:t>
      </w:r>
    </w:p>
    <w:tbl>
      <w:tblPr>
        <w:tblStyle w:val="TableGrid"/>
        <w:tblW w:type="dxa" w:w="9360"/>
        <w:tblLayout w:type="fixed"/>
        <w:tblLook w:firstColumn="1" w:firstRow="1" w:lastColumn="0" w:lastRow="0" w:noHBand="0" w:noVBand="1" w:val="04A0"/>
        <w:jc w:val="center"/>
        <w:tblInd w:w="120" w:type="dxa"/>
      </w:tblPr>
      <w:tblGrid>
        <w:gridCol w:w="1400"/>
        <w:gridCol w:w="5900"/>
        <w:gridCol w:w="2060"/>
      </w:tblGrid>
      <w:tr>
        <w:trPr>
          <w:tblHeader w:val="true"/>
        </w:trPr>
        <w:tc>
          <w:tcPr>
            <w:tcW w:type="dxa" w:w="140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7"/>
              </w:rPr>
              <w:t>頻度</w:t>
            </w:r>
          </w:p>
        </w:tc>
        <w:tc>
          <w:tcPr>
            <w:tcW w:type="dxa" w:w="590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7"/>
              </w:rPr>
              <w:t>確認項目</w:t>
            </w:r>
          </w:p>
        </w:tc>
        <w:tc>
          <w:tcPr>
            <w:tcW w:type="dxa" w:w="206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7"/>
              </w:rPr>
              <w:t>担当例</w:t>
            </w:r>
          </w:p>
        </w:tc>
      </w:tr>
      <w:tr>
        <w:tc>
          <w:tcPr>
            <w:tcW w:type="dxa" w:w="14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毎日</w:t>
            </w:r>
          </w:p>
        </w:tc>
        <w:tc>
          <w:tcPr>
            <w:tcW w:type="dxa" w:w="590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未処理の書類DL申請、通関保留、重大エラー、誤公開の有無</w:t>
            </w:r>
          </w:p>
        </w:tc>
        <w:tc>
          <w:tcPr>
            <w:tcW w:type="dxa" w:w="206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管理者</w:t>
            </w:r>
          </w:p>
        </w:tc>
      </w:tr>
      <w:tr>
        <w:tc>
          <w:tcPr>
            <w:tcW w:type="dxa" w:w="14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毎週</w:t>
            </w:r>
          </w:p>
        </w:tc>
        <w:tc>
          <w:tcPr>
            <w:tcW w:type="dxa" w:w="590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長期滞留案件、担当未設定、却下・期限切れ申請、未解決問い合わせ</w:t>
            </w:r>
          </w:p>
        </w:tc>
        <w:tc>
          <w:tcPr>
            <w:tcW w:type="dxa" w:w="206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管理者／運用責任者</w:t>
            </w:r>
          </w:p>
        </w:tc>
      </w:tr>
      <w:tr>
        <w:tc>
          <w:tcPr>
            <w:tcW w:type="dxa" w:w="14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毎月</w:t>
            </w:r>
          </w:p>
        </w:tc>
        <w:tc>
          <w:tcPr>
            <w:tcW w:type="dxa" w:w="590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不要アカウント、管理者・荷主割当、標準フロー、評価傾向、保守報告</w:t>
            </w:r>
          </w:p>
        </w:tc>
        <w:tc>
          <w:tcPr>
            <w:tcW w:type="dxa" w:w="206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スーパー管理者</w:t>
            </w:r>
          </w:p>
        </w:tc>
      </w:tr>
      <w:tr>
        <w:tc>
          <w:tcPr>
            <w:tcW w:type="dxa" w:w="14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変更時</w:t>
            </w:r>
          </w:p>
        </w:tc>
        <w:tc>
          <w:tcPr>
            <w:tcW w:type="dxa" w:w="590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日本語・英語、PC・スマートフォン、各権限、顧客／内部書類の可視性</w:t>
            </w:r>
          </w:p>
        </w:tc>
        <w:tc>
          <w:tcPr>
            <w:tcW w:type="dxa" w:w="206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変更責任者</w:t>
            </w:r>
          </w:p>
        </w:tc>
      </w:tr>
      <w:tr>
        <w:tc>
          <w:tcPr>
            <w:tcW w:type="dxa" w:w="14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契約終了時</w:t>
            </w:r>
          </w:p>
        </w:tc>
        <w:tc>
          <w:tcPr>
            <w:tcW w:type="dxa" w:w="590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7"/>
              </w:rPr>
              <w:t>利用停止、データ返却・削除、権限回収、未解決事項・運用資料の引継ぎ</w:t>
            </w:r>
          </w:p>
        </w:tc>
        <w:tc>
          <w:tcPr>
            <w:tcW w:type="dxa" w:w="206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7"/>
              </w:rPr>
              <w:t>契約責任者</w:t>
            </w:r>
          </w:p>
        </w:tc>
      </w:tr>
    </w:tbl>
    <w:p>
      <w:pPr>
        <w:spacing w:after="40"/>
      </w:pPr>
    </w:p>
    <w:p>
      <w:pPr>
        <w:pStyle w:val="Heading1"/>
      </w:pPr>
      <w:r>
        <w:t>8　用語</w:t>
      </w:r>
    </w:p>
    <w:tbl>
      <w:tblPr>
        <w:tblStyle w:val="TableGrid"/>
        <w:tblW w:type="dxa" w:w="9360"/>
        <w:tblLayout w:type="fixed"/>
        <w:tblLook w:firstColumn="1" w:firstRow="1" w:lastColumn="0" w:lastRow="0" w:noHBand="0" w:noVBand="1" w:val="04A0"/>
        <w:jc w:val="center"/>
        <w:tblInd w:w="120" w:type="dxa"/>
      </w:tblPr>
      <w:tblGrid>
        <w:gridCol w:w="2300"/>
        <w:gridCol w:w="7060"/>
      </w:tblGrid>
      <w:tr>
        <w:trPr>
          <w:tblHeader w:val="true"/>
        </w:trPr>
        <w:tc>
          <w:tcPr>
            <w:tcW w:type="dxa" w:w="230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8"/>
              </w:rPr>
              <w:t>用語</w:t>
            </w:r>
          </w:p>
        </w:tc>
        <w:tc>
          <w:tcPr>
            <w:tcW w:type="dxa" w:w="706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8"/>
              </w:rPr>
              <w:t>意味</w:t>
            </w:r>
          </w:p>
        </w:tc>
      </w:tr>
      <w:tr>
        <w:tc>
          <w:tcPr>
            <w:tcW w:type="dxa" w:w="23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荷主（Shipper）</w:t>
            </w:r>
          </w:p>
        </w:tc>
        <w:tc>
          <w:tcPr>
            <w:tcW w:type="dxa" w:w="70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出荷する顧客企業。一般ユーザーの表示範囲を決める主要な紐付け。</w:t>
            </w:r>
          </w:p>
        </w:tc>
      </w:tr>
      <w:tr>
        <w:tc>
          <w:tcPr>
            <w:tcW w:type="dxa" w:w="230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荷受人（Consignee）</w:t>
            </w:r>
          </w:p>
        </w:tc>
        <w:tc>
          <w:tcPr>
            <w:tcW w:type="dxa" w:w="70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貨物を受け取る企業・組織。</w:t>
            </w:r>
          </w:p>
        </w:tc>
      </w:tr>
      <w:tr>
        <w:tc>
          <w:tcPr>
            <w:tcW w:type="dxa" w:w="23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POL／POD</w:t>
            </w:r>
          </w:p>
        </w:tc>
        <w:tc>
          <w:tcPr>
            <w:tcW w:type="dxa" w:w="70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海上輸送の積地港／揚地港。</w:t>
            </w:r>
          </w:p>
        </w:tc>
      </w:tr>
      <w:tr>
        <w:tc>
          <w:tcPr>
            <w:tcW w:type="dxa" w:w="23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AOL／AOD</w:t>
            </w:r>
          </w:p>
        </w:tc>
        <w:tc>
          <w:tcPr>
            <w:tcW w:type="dxa" w:w="70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航空輸送の出発空港／到着空港。</w:t>
            </w:r>
          </w:p>
        </w:tc>
      </w:tr>
      <w:tr>
        <w:tc>
          <w:tcPr>
            <w:tcW w:type="dxa" w:w="23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BL／AWB</w:t>
            </w:r>
          </w:p>
        </w:tc>
        <w:tc>
          <w:tcPr>
            <w:tcW w:type="dxa" w:w="70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船荷証券／航空運送状の番号。</w:t>
            </w:r>
          </w:p>
        </w:tc>
      </w:tr>
      <w:tr>
        <w:tc>
          <w:tcPr>
            <w:tcW w:type="dxa" w:w="23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顧客向け書類</w:t>
            </w:r>
          </w:p>
        </w:tc>
        <w:tc>
          <w:tcPr>
            <w:tcW w:type="dxa" w:w="70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一般ユーザーへの公開対象となり得る書類。ダウンロードは承認状態に従う。</w:t>
            </w:r>
          </w:p>
        </w:tc>
      </w:tr>
      <w:tr>
        <w:tc>
          <w:tcPr>
            <w:tcW w:type="dxa" w:w="23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内部書類</w:t>
            </w:r>
          </w:p>
        </w:tc>
        <w:tc>
          <w:tcPr>
            <w:tcW w:type="dxa" w:w="70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管理業務用の書類。一般ユーザーには表示しない。</w:t>
            </w:r>
          </w:p>
        </w:tc>
      </w:tr>
      <w:tr>
        <w:tc>
          <w:tcPr>
            <w:tcW w:type="dxa" w:w="23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標準フロー</w:t>
            </w:r>
          </w:p>
        </w:tc>
        <w:tc>
          <w:tcPr>
            <w:tcW w:type="dxa" w:w="70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追跡イベントとステータス順序を定義するテンプレート。</w:t>
            </w:r>
          </w:p>
        </w:tc>
      </w:tr>
      <w:tr>
        <w:tc>
          <w:tcPr>
            <w:tcW w:type="dxa" w:w="23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ソフト削除</w:t>
            </w:r>
          </w:p>
        </w:tc>
        <w:tc>
          <w:tcPr>
            <w:tcW w:type="dxa" w:w="70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履歴・整合性のためデータを残しつつ、通常画面から非表示にする削除方式。</w:t>
            </w:r>
          </w:p>
        </w:tc>
      </w:tr>
    </w:tbl>
    <w:p>
      <w:pPr>
        <w:spacing w:after="40"/>
      </w:pPr>
    </w:p>
    <w:p>
      <w:pPr>
        <w:pStyle w:val="Heading1"/>
      </w:pPr>
      <w:r>
        <w:t>9　改訂履歴</w:t>
      </w:r>
    </w:p>
    <w:tbl>
      <w:tblPr>
        <w:tblStyle w:val="TableGrid"/>
        <w:tblW w:type="dxa" w:w="9360"/>
        <w:tblLayout w:type="fixed"/>
        <w:tblLook w:firstColumn="1" w:firstRow="1" w:lastColumn="0" w:lastRow="0" w:noHBand="0" w:noVBand="1" w:val="04A0"/>
        <w:jc w:val="center"/>
        <w:tblInd w:w="120" w:type="dxa"/>
      </w:tblPr>
      <w:tblGrid>
        <w:gridCol w:w="900"/>
        <w:gridCol w:w="1900"/>
        <w:gridCol w:w="6560"/>
      </w:tblGrid>
      <w:tr>
        <w:trPr>
          <w:tblHeader w:val="true"/>
        </w:trPr>
        <w:tc>
          <w:tcPr>
            <w:tcW w:type="dxa" w:w="90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8"/>
              </w:rPr>
              <w:t>版</w:t>
            </w:r>
          </w:p>
        </w:tc>
        <w:tc>
          <w:tcPr>
            <w:tcW w:type="dxa" w:w="190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8"/>
              </w:rPr>
              <w:t>日付</w:t>
            </w:r>
          </w:p>
        </w:tc>
        <w:tc>
          <w:tcPr>
            <w:tcW w:type="dxa" w:w="6560"/>
            <w:vAlign w:val="center"/>
            <w:tcMar>
              <w:top w:w="80" w:type="dxa"/>
              <w:start w:w="120" w:type="dxa"/>
              <w:bottom w:w="80" w:type="dxa"/>
              <w:end w:w="120" w:type="dxa"/>
            </w:tcMar>
            <w:shd w:fill="E8EEF5"/>
          </w:tcPr>
          <w:p>
            <w:pPr>
              <w:spacing w:after="0"/>
              <w:jc w:val="center"/>
            </w:pPr>
            <w:r>
              <w:rPr>
                <w:rFonts w:ascii="Hiragino Sans" w:hAnsi="Hiragino Sans" w:eastAsia="Hiragino Sans"/>
                <w:b/>
                <w:color w:val="1F4D78"/>
                <w:sz w:val="18"/>
              </w:rPr>
              <w:t>内容</w:t>
            </w:r>
          </w:p>
        </w:tc>
      </w:tr>
      <w:tr>
        <w:tc>
          <w:tcPr>
            <w:tcW w:type="dxa" w:w="9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1.0</w:t>
            </w:r>
          </w:p>
        </w:tc>
        <w:tc>
          <w:tcPr>
            <w:tcW w:type="dxa" w:w="1900"/>
            <w:vAlign w:val="center"/>
            <w:tcMar>
              <w:top w:w="80" w:type="dxa"/>
              <w:start w:w="120" w:type="dxa"/>
              <w:bottom w:w="80" w:type="dxa"/>
              <w:end w:w="120" w:type="dxa"/>
            </w:tcMar>
          </w:tcPr>
          <w:p>
            <w:pPr>
              <w:spacing w:after="0"/>
              <w:jc w:val="center"/>
            </w:pPr>
            <w:r>
              <w:rPr>
                <w:rFonts w:ascii="Hiragino Sans" w:hAnsi="Hiragino Sans" w:eastAsia="Hiragino Sans"/>
                <w:b w:val="0"/>
                <w:color w:val="172033"/>
                <w:sz w:val="18"/>
              </w:rPr>
              <w:t>2026年8月7日</w:t>
            </w:r>
          </w:p>
        </w:tc>
        <w:tc>
          <w:tcPr>
            <w:tcW w:type="dxa" w:w="6560"/>
            <w:vAlign w:val="center"/>
            <w:tcMar>
              <w:top w:w="80" w:type="dxa"/>
              <w:start w:w="120" w:type="dxa"/>
              <w:bottom w:w="80" w:type="dxa"/>
              <w:end w:w="120" w:type="dxa"/>
            </w:tcMar>
          </w:tcPr>
          <w:p>
            <w:pPr>
              <w:spacing w:after="0"/>
              <w:jc w:val="left"/>
            </w:pPr>
            <w:r>
              <w:rPr>
                <w:rFonts w:ascii="Hiragino Sans" w:hAnsi="Hiragino Sans" w:eastAsia="Hiragino Sans"/>
                <w:b w:val="0"/>
                <w:color w:val="172033"/>
                <w:sz w:val="18"/>
              </w:rPr>
              <w:t>現行コードに基づく新規整備。Auth0ログイン、役割別画面、書類承認期限、標準フロー、評価、プロフィール、チュートリアル、保守問い合わせ手順を反映。</w:t>
            </w:r>
          </w:p>
        </w:tc>
      </w:tr>
    </w:tbl>
    <w:p>
      <w:pPr>
        <w:spacing w:after="40"/>
      </w:pPr>
    </w:p>
    <w:sectPr w:rsidR="00FC693F" w:rsidRPr="0006063C" w:rsidSect="00034616">
      <w:headerReference w:type="default" r:id="rId9"/>
      <w:footerReference w:type="default" r:id="rId10"/>
      <w:pgSz w:w="12240" w:h="15840"/>
      <w:pgMar w:top="1181" w:right="1296" w:bottom="1123"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w:hAnsi="Hiragino Sans" w:eastAsia="Hiragino Sans"/>
        <w:b w:val="0"/>
        <w:color w:val="5D687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5" w:color="CBD5E1"/>
      </w:pBdr>
    </w:pPr>
    <w:r>
      <w:rPr>
        <w:rFonts w:ascii="Hiragino Sans" w:hAnsi="Hiragino Sans" w:eastAsia="Hiragino Sans"/>
        <w:b/>
        <w:color w:val="5D6878"/>
        <w:sz w:val="17"/>
      </w:rPr>
      <w:t>CN Navigator｜ユーザーマニュアル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Hiragino Sans" w:hAnsi="Hiragino Sans" w:eastAsia="Hiragino San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Hiragino Sans" w:hAnsi="Hiragino Sans" w:eastAsia="Hiragino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iragino Sans" w:hAnsi="Hiragino Sans" w:eastAsia="Hiragino San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Hiragino Sans" w:hAnsi="Hiragino Sans" w:eastAsia="Hiragino Sans"/>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Hiragino Sans" w:hAnsi="Hiragino Sans" w:eastAsia="Hiragino Sans"/>
      <w:b/>
      <w:color w:val="17203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Hiragino Sans" w:hAnsi="Hiragino Sans" w:eastAsia="Hiragino Sans"/>
      <w:b w:val="0"/>
      <w:i/>
      <w:iCs/>
      <w:color w:val="5D68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Hiragino Sans" w:hAnsi="Hiragino Sans" w:eastAsia="Hiragino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Hiragino Sans" w:hAnsi="Hiragino Sans" w:eastAsia="Hiragino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