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1DD1CE" w14:textId="77777777" w:rsidR="00700BE8" w:rsidRPr="004E34E3" w:rsidRDefault="00700BE8" w:rsidP="00700BE8">
      <w:pPr>
        <w:spacing w:after="80"/>
        <w:jc w:val="center"/>
        <w:rPr>
          <w:rFonts w:ascii="Times New Roman" w:hAnsi="Times New Roman" w:cs="Times New Roman"/>
          <w:color w:val="000000" w:themeColor="text1"/>
          <w:sz w:val="28"/>
          <w:szCs w:val="28"/>
        </w:rPr>
      </w:pPr>
      <w:r w:rsidRPr="004E34E3">
        <w:rPr>
          <w:rFonts w:ascii="Times New Roman" w:eastAsia="Arial" w:hAnsi="Times New Roman" w:cs="Times New Roman"/>
          <w:b/>
          <w:bCs/>
          <w:color w:val="000000" w:themeColor="text1"/>
          <w:sz w:val="28"/>
          <w:szCs w:val="28"/>
        </w:rPr>
        <w:t>Clinical Natural Language Technology for Health Care:</w:t>
      </w:r>
    </w:p>
    <w:p w14:paraId="3606CB37" w14:textId="77777777" w:rsidR="00700BE8" w:rsidRPr="004E34E3" w:rsidRDefault="00700BE8" w:rsidP="00700BE8">
      <w:pPr>
        <w:spacing w:after="80"/>
        <w:jc w:val="center"/>
        <w:rPr>
          <w:rFonts w:ascii="Times New Roman" w:hAnsi="Times New Roman" w:cs="Times New Roman"/>
          <w:color w:val="000000" w:themeColor="text1"/>
          <w:sz w:val="28"/>
          <w:szCs w:val="28"/>
        </w:rPr>
      </w:pPr>
      <w:r w:rsidRPr="004E34E3">
        <w:rPr>
          <w:rFonts w:ascii="Times New Roman" w:eastAsia="Arial" w:hAnsi="Times New Roman" w:cs="Times New Roman"/>
          <w:b/>
          <w:bCs/>
          <w:color w:val="000000" w:themeColor="text1"/>
          <w:sz w:val="28"/>
          <w:szCs w:val="28"/>
        </w:rPr>
        <w:t>Past, Present, and Future Approaches</w:t>
      </w:r>
    </w:p>
    <w:p w14:paraId="3DAECEBA" w14:textId="77777777" w:rsidR="00700BE8" w:rsidRPr="004E34E3" w:rsidRDefault="00700BE8" w:rsidP="00700BE8">
      <w:pPr>
        <w:spacing w:after="60"/>
        <w:jc w:val="center"/>
        <w:rPr>
          <w:rFonts w:ascii="Times New Roman" w:eastAsia="Arial" w:hAnsi="Times New Roman" w:cs="Times New Roman"/>
          <w:color w:val="000000" w:themeColor="text1"/>
          <w:sz w:val="28"/>
          <w:szCs w:val="28"/>
        </w:rPr>
      </w:pPr>
      <w:r w:rsidRPr="004E34E3">
        <w:rPr>
          <w:rFonts w:ascii="Times New Roman" w:eastAsia="Arial" w:hAnsi="Times New Roman" w:cs="Times New Roman"/>
          <w:color w:val="000000" w:themeColor="text1"/>
          <w:sz w:val="28"/>
          <w:szCs w:val="28"/>
        </w:rPr>
        <w:t>Nisha Ravishankar</w:t>
      </w:r>
    </w:p>
    <w:p w14:paraId="3FE2D098" w14:textId="77777777" w:rsidR="00700BE8" w:rsidRPr="004E34E3" w:rsidRDefault="00700BE8" w:rsidP="00700BE8">
      <w:pPr>
        <w:spacing w:after="60"/>
        <w:jc w:val="center"/>
        <w:rPr>
          <w:rFonts w:ascii="Times New Roman" w:hAnsi="Times New Roman" w:cs="Times New Roman"/>
          <w:sz w:val="28"/>
          <w:szCs w:val="28"/>
        </w:rPr>
      </w:pPr>
    </w:p>
    <w:p w14:paraId="76425197" w14:textId="77777777" w:rsidR="00307CF4" w:rsidRPr="004E34E3" w:rsidRDefault="00307CF4" w:rsidP="00307CF4">
      <w:pPr>
        <w:pStyle w:val="font-claude-response-body"/>
      </w:pPr>
      <w:r w:rsidRPr="004E34E3">
        <w:rPr>
          <w:rStyle w:val="Strong"/>
        </w:rPr>
        <w:t>Defining the Concept</w:t>
      </w:r>
    </w:p>
    <w:p w14:paraId="6940FC5F" w14:textId="331F55E2" w:rsidR="00307CF4" w:rsidRPr="004E34E3" w:rsidRDefault="00307CF4" w:rsidP="00307CF4">
      <w:pPr>
        <w:pStyle w:val="font-claude-response-body"/>
      </w:pPr>
      <w:r w:rsidRPr="004E34E3">
        <w:t xml:space="preserve">Healthcare is drowning in text. Every day, clinicians produce thousands of physician notes, discharge summaries, radiology reports, and insurance claims and almost none of it sits in a neat, </w:t>
      </w:r>
      <w:r w:rsidR="00C52B2A" w:rsidRPr="004E34E3">
        <w:t>query able</w:t>
      </w:r>
      <w:r w:rsidRPr="004E34E3">
        <w:t xml:space="preserve"> database. Clinical Natural Language Processing (NLP) exists to solve exactly that problem. By applying computational techniques to </w:t>
      </w:r>
      <w:r w:rsidR="00C52B2A">
        <w:t>unstructured</w:t>
      </w:r>
      <w:r w:rsidRPr="004E34E3">
        <w:t xml:space="preserve"> medical language, clinical NLP systems can read, interpret, and structure information</w:t>
      </w:r>
      <w:r w:rsidR="00C52B2A">
        <w:t>.</w:t>
      </w:r>
    </w:p>
    <w:p w14:paraId="7D1EC5B7" w14:textId="040D08C1" w:rsidR="00307CF4" w:rsidRPr="004E34E3" w:rsidRDefault="00307CF4" w:rsidP="00307CF4">
      <w:pPr>
        <w:pStyle w:val="font-claude-response-body"/>
      </w:pPr>
      <w:r w:rsidRPr="004E34E3">
        <w:t xml:space="preserve">The technology has evolved into several distinct </w:t>
      </w:r>
      <w:r w:rsidR="00C52B2A">
        <w:t>types</w:t>
      </w:r>
      <w:r w:rsidRPr="004E34E3">
        <w:t>: rule-based systems, machine learning classifiers, optical character recognition (OCR), computer vision, and most recently</w:t>
      </w:r>
      <w:r w:rsidRPr="004E34E3">
        <w:t xml:space="preserve">, </w:t>
      </w:r>
      <w:r w:rsidRPr="004E34E3">
        <w:t xml:space="preserve">large language models (LLMs) and large multimodal models (LMMs). Despite their differences, these tools share three core jobs in a healthcare setting. The first is information extraction </w:t>
      </w:r>
      <w:r w:rsidR="00C52B2A">
        <w:t xml:space="preserve">i.e. </w:t>
      </w:r>
      <w:r w:rsidRPr="004E34E3">
        <w:t xml:space="preserve">pulling diagnoses, medications, procedures, and patient demographics straight from clinical text. The second is document classification routing records, flagging anomalies, and assigning billing codes. The third is summarization and generation condensing </w:t>
      </w:r>
      <w:r w:rsidR="00C52B2A">
        <w:t>large</w:t>
      </w:r>
      <w:r w:rsidRPr="004E34E3">
        <w:t xml:space="preserve"> discharge summary into a readable </w:t>
      </w:r>
      <w:r w:rsidRPr="004E34E3">
        <w:t xml:space="preserve">brief </w:t>
      </w:r>
      <w:r w:rsidR="00C52B2A">
        <w:t xml:space="preserve">text </w:t>
      </w:r>
      <w:r w:rsidRPr="004E34E3">
        <w:t>or</w:t>
      </w:r>
      <w:r w:rsidRPr="004E34E3">
        <w:t xml:space="preserve"> converting a written policy into a computable rule. Together, these functions </w:t>
      </w:r>
      <w:r w:rsidR="00C52B2A">
        <w:t xml:space="preserve">cover </w:t>
      </w:r>
      <w:r w:rsidRPr="004E34E3">
        <w:t>every corner of Treatment, Payment, and Operations (TPO), the three pillars that drive healthcare data management.</w:t>
      </w:r>
    </w:p>
    <w:p w14:paraId="1BC3DFDE" w14:textId="77777777" w:rsidR="00307CF4" w:rsidRPr="004E34E3" w:rsidRDefault="00307CF4" w:rsidP="00307CF4">
      <w:pPr>
        <w:pStyle w:val="font-claude-response-body"/>
      </w:pPr>
    </w:p>
    <w:p w14:paraId="2093EB54" w14:textId="77777777" w:rsidR="00307CF4" w:rsidRPr="004E34E3" w:rsidRDefault="00307CF4" w:rsidP="00307CF4">
      <w:pPr>
        <w:pStyle w:val="font-claude-response-body"/>
      </w:pPr>
      <w:r w:rsidRPr="004E34E3">
        <w:rPr>
          <w:rStyle w:val="Strong"/>
        </w:rPr>
        <w:t>Relevant Trends</w:t>
      </w:r>
    </w:p>
    <w:p w14:paraId="65B7B3EE" w14:textId="77777777" w:rsidR="00307CF4" w:rsidRPr="004E34E3" w:rsidRDefault="00307CF4" w:rsidP="00307CF4">
      <w:pPr>
        <w:pStyle w:val="font-claude-response-body"/>
      </w:pPr>
      <w:r w:rsidRPr="004E34E3">
        <w:rPr>
          <w:rStyle w:val="Emphasis"/>
        </w:rPr>
        <w:t>From Rules to Transformers</w:t>
      </w:r>
    </w:p>
    <w:p w14:paraId="537E9710" w14:textId="46A43395" w:rsidR="00307CF4" w:rsidRPr="004E34E3" w:rsidRDefault="00307CF4" w:rsidP="00307CF4">
      <w:pPr>
        <w:pStyle w:val="font-claude-response-body"/>
      </w:pPr>
      <w:r w:rsidRPr="004E34E3">
        <w:t xml:space="preserve">Early clinical NLP was </w:t>
      </w:r>
      <w:r w:rsidR="00C52B2A">
        <w:t>unnecessary hard</w:t>
      </w:r>
      <w:r w:rsidRPr="004E34E3">
        <w:t xml:space="preserve"> work. Systems like </w:t>
      </w:r>
      <w:proofErr w:type="spellStart"/>
      <w:r w:rsidRPr="004E34E3">
        <w:t>cTAKES</w:t>
      </w:r>
      <w:proofErr w:type="spellEnd"/>
      <w:r w:rsidRPr="004E34E3">
        <w:t xml:space="preserve"> and </w:t>
      </w:r>
      <w:proofErr w:type="spellStart"/>
      <w:r w:rsidRPr="004E34E3">
        <w:t>MedLEE</w:t>
      </w:r>
      <w:proofErr w:type="spellEnd"/>
      <w:r w:rsidRPr="004E34E3">
        <w:t xml:space="preserve"> relied on hand-crafted rules and medical ontologies</w:t>
      </w:r>
      <w:r w:rsidRPr="004E34E3">
        <w:t xml:space="preserve">: </w:t>
      </w:r>
      <w:r w:rsidRPr="004E34E3">
        <w:t>SNOMED CT, UMLS</w:t>
      </w:r>
      <w:r w:rsidRPr="004E34E3">
        <w:t xml:space="preserve"> </w:t>
      </w:r>
      <w:r w:rsidRPr="004E34E3">
        <w:t xml:space="preserve">to extract meaning from text. They worked, but they were </w:t>
      </w:r>
      <w:r w:rsidR="00C52B2A">
        <w:t>fragile</w:t>
      </w:r>
      <w:r w:rsidRPr="004E34E3">
        <w:t xml:space="preserve">. Any unexpected phrasing could break </w:t>
      </w:r>
      <w:r w:rsidRPr="004E34E3">
        <w:t>them and</w:t>
      </w:r>
      <w:r w:rsidRPr="004E34E3">
        <w:t xml:space="preserve"> </w:t>
      </w:r>
      <w:r w:rsidR="00C52B2A">
        <w:t xml:space="preserve">maintaining </w:t>
      </w:r>
      <w:r w:rsidRPr="004E34E3">
        <w:t xml:space="preserve">them required constant manual effort. The arrival of deep learning changed the </w:t>
      </w:r>
      <w:r w:rsidR="00C52B2A">
        <w:t>approach</w:t>
      </w:r>
      <w:r w:rsidRPr="004E34E3">
        <w:t xml:space="preserve"> considerably. </w:t>
      </w:r>
      <w:proofErr w:type="spellStart"/>
      <w:r w:rsidRPr="004E34E3">
        <w:t>BiLSTM</w:t>
      </w:r>
      <w:proofErr w:type="spellEnd"/>
      <w:r w:rsidRPr="004E34E3">
        <w:t xml:space="preserve">-based sequence models gave way to BERT-based architectures like </w:t>
      </w:r>
      <w:proofErr w:type="spellStart"/>
      <w:r w:rsidRPr="004E34E3">
        <w:t>BioBERT</w:t>
      </w:r>
      <w:proofErr w:type="spellEnd"/>
      <w:r w:rsidRPr="004E34E3">
        <w:t xml:space="preserve"> and </w:t>
      </w:r>
      <w:proofErr w:type="spellStart"/>
      <w:r w:rsidRPr="004E34E3">
        <w:t>ClinicalBERT</w:t>
      </w:r>
      <w:proofErr w:type="spellEnd"/>
      <w:r w:rsidRPr="004E34E3">
        <w:t xml:space="preserve">, which learned from data rather than rules and quickly outperformed their predecessors on tasks like named entity recognition and relation extraction. Then came the LLM era. By 2023, general-purpose models </w:t>
      </w:r>
      <w:r w:rsidRPr="004E34E3">
        <w:t>like</w:t>
      </w:r>
      <w:r w:rsidRPr="004E34E3">
        <w:t xml:space="preserve"> GPT-4, Claude, </w:t>
      </w:r>
      <w:r w:rsidRPr="004E34E3">
        <w:t xml:space="preserve">and </w:t>
      </w:r>
      <w:r w:rsidRPr="004E34E3">
        <w:t>Gemini were matching or beating domain-specific systems on clinical NLP benchmarks, often with little to no fine-tuning. What once required years of ontology engineering could now be prompted in a few sentences.</w:t>
      </w:r>
    </w:p>
    <w:p w14:paraId="744174CA" w14:textId="77777777" w:rsidR="00307CF4" w:rsidRPr="004E34E3" w:rsidRDefault="00307CF4" w:rsidP="00307CF4">
      <w:pPr>
        <w:pStyle w:val="font-claude-response-body"/>
      </w:pPr>
    </w:p>
    <w:p w14:paraId="08C3180A" w14:textId="77777777" w:rsidR="00307CF4" w:rsidRPr="004E34E3" w:rsidRDefault="00307CF4" w:rsidP="00307CF4">
      <w:pPr>
        <w:pStyle w:val="font-claude-response-body"/>
      </w:pPr>
    </w:p>
    <w:p w14:paraId="3A762657" w14:textId="77777777" w:rsidR="00307CF4" w:rsidRPr="004E34E3" w:rsidRDefault="00307CF4" w:rsidP="00307CF4">
      <w:pPr>
        <w:pStyle w:val="font-claude-response-body"/>
      </w:pPr>
      <w:r w:rsidRPr="004E34E3">
        <w:rPr>
          <w:rStyle w:val="Emphasis"/>
        </w:rPr>
        <w:t>Multimodal Expansion</w:t>
      </w:r>
    </w:p>
    <w:p w14:paraId="61A9B62A" w14:textId="5E2D6ACB" w:rsidR="00307CF4" w:rsidRPr="004E34E3" w:rsidRDefault="00307CF4" w:rsidP="00307CF4">
      <w:pPr>
        <w:pStyle w:val="font-claude-response-body"/>
      </w:pPr>
      <w:r w:rsidRPr="004E34E3">
        <w:t>The next f</w:t>
      </w:r>
      <w:r w:rsidR="00C52B2A">
        <w:t xml:space="preserve">orefront </w:t>
      </w:r>
      <w:r w:rsidRPr="004E34E3">
        <w:t>is multimodal. Systems like Google's Med-</w:t>
      </w:r>
      <w:proofErr w:type="spellStart"/>
      <w:r w:rsidRPr="004E34E3">
        <w:t>PaLM</w:t>
      </w:r>
      <w:proofErr w:type="spellEnd"/>
      <w:r w:rsidRPr="004E34E3">
        <w:t xml:space="preserve"> 2 and models built on GPT-4o are no longer limited to reading </w:t>
      </w:r>
      <w:r w:rsidR="004E34E3" w:rsidRPr="004E34E3">
        <w:t>text, they</w:t>
      </w:r>
      <w:r w:rsidRPr="004E34E3">
        <w:t xml:space="preserve"> can interpret medical images, parse scanned documents, and reason across data types simultaneously. OCR pipelines have matured alongside them; tools like Google Document AI and Azure Form Recognizer can now reliably extract information from handwritten clinical notes and complex insurance forms that previously required a human </w:t>
      </w:r>
      <w:r w:rsidR="00C52B2A">
        <w:t>examiner</w:t>
      </w:r>
      <w:r w:rsidRPr="004E34E3">
        <w:t xml:space="preserve">. The </w:t>
      </w:r>
      <w:r w:rsidR="00C52B2A">
        <w:t xml:space="preserve">intersection </w:t>
      </w:r>
      <w:r w:rsidRPr="004E34E3">
        <w:t xml:space="preserve">of NLP, OCR, and computer vision into a single unified pipeline is arguably the </w:t>
      </w:r>
      <w:r w:rsidR="00C52B2A">
        <w:t xml:space="preserve">biggest technical impactful </w:t>
      </w:r>
      <w:r w:rsidRPr="004E34E3">
        <w:t>development in health AI right now.</w:t>
      </w:r>
    </w:p>
    <w:p w14:paraId="46BE4BF0" w14:textId="77777777" w:rsidR="00307CF4" w:rsidRPr="004E34E3" w:rsidRDefault="00307CF4" w:rsidP="00307CF4">
      <w:pPr>
        <w:pStyle w:val="font-claude-response-body"/>
      </w:pPr>
      <w:r w:rsidRPr="004E34E3">
        <w:rPr>
          <w:rStyle w:val="Emphasis"/>
        </w:rPr>
        <w:t>Regulatory and Adoption Momentum</w:t>
      </w:r>
    </w:p>
    <w:p w14:paraId="0D74187F" w14:textId="4F6FDBFD" w:rsidR="00307CF4" w:rsidRPr="004E34E3" w:rsidRDefault="00307CF4" w:rsidP="00307CF4">
      <w:pPr>
        <w:pStyle w:val="font-claude-response-body"/>
      </w:pPr>
      <w:r w:rsidRPr="004E34E3">
        <w:t>The r</w:t>
      </w:r>
      <w:r w:rsidR="00B922CF">
        <w:t>ules we operate under are all</w:t>
      </w:r>
      <w:r w:rsidRPr="004E34E3">
        <w:t xml:space="preserve"> pushing in the same direction. The CMS Interoperability and Patient Access Rule </w:t>
      </w:r>
      <w:r w:rsidR="004E34E3" w:rsidRPr="004E34E3">
        <w:t>have</w:t>
      </w:r>
      <w:r w:rsidRPr="004E34E3">
        <w:t xml:space="preserve"> put pressure on health systems to convert legacy unstructured records into FHIR-compliant formats</w:t>
      </w:r>
      <w:r w:rsidR="004E34E3" w:rsidRPr="004E34E3">
        <w:t>,</w:t>
      </w:r>
      <w:r w:rsidRPr="004E34E3">
        <w:t xml:space="preserve"> a task that NLP is uniquely suited to handle at scale. Meanwhile, the shift toward value-based care has given payers a strong financial incentive to extract richer clinical context from records and claims for risk adjustment and quality measurement. The market is moving; the question for organizations like Cotiviti is whether to lead or follow.</w:t>
      </w:r>
    </w:p>
    <w:p w14:paraId="5EF8E897" w14:textId="77777777" w:rsidR="00307CF4" w:rsidRPr="004E34E3" w:rsidRDefault="00307CF4" w:rsidP="00307CF4">
      <w:pPr>
        <w:pStyle w:val="font-claude-response-body"/>
      </w:pPr>
    </w:p>
    <w:p w14:paraId="39DC7F9A" w14:textId="77777777" w:rsidR="00307CF4" w:rsidRPr="004E34E3" w:rsidRDefault="00307CF4" w:rsidP="00307CF4">
      <w:pPr>
        <w:pStyle w:val="font-claude-response-body"/>
      </w:pPr>
      <w:r w:rsidRPr="004E34E3">
        <w:rPr>
          <w:rStyle w:val="Strong"/>
        </w:rPr>
        <w:t>Opportunities and Threats</w:t>
      </w:r>
    </w:p>
    <w:p w14:paraId="5B180B03" w14:textId="77777777" w:rsidR="00307CF4" w:rsidRPr="004E34E3" w:rsidRDefault="00307CF4" w:rsidP="00307CF4">
      <w:pPr>
        <w:pStyle w:val="font-claude-response-body"/>
      </w:pPr>
      <w:r w:rsidRPr="004E34E3">
        <w:rPr>
          <w:rStyle w:val="Emphasis"/>
        </w:rPr>
        <w:t>Opportunities</w:t>
      </w:r>
    </w:p>
    <w:p w14:paraId="446B6AA6" w14:textId="51200721" w:rsidR="00307CF4" w:rsidRPr="004E34E3" w:rsidRDefault="00307CF4" w:rsidP="00307CF4">
      <w:pPr>
        <w:pStyle w:val="font-claude-response-body"/>
        <w:numPr>
          <w:ilvl w:val="0"/>
          <w:numId w:val="1"/>
        </w:numPr>
      </w:pPr>
      <w:r w:rsidRPr="004E34E3">
        <w:rPr>
          <w:rStyle w:val="Strong"/>
        </w:rPr>
        <w:t>Prior Authorization Automation:</w:t>
      </w:r>
      <w:r w:rsidRPr="004E34E3">
        <w:t xml:space="preserve"> Rather than waiting days for a clinician to manually review a prior auth request, an LLM can extract the relevant clinical criteria from a physician note and match it against payer policy in seconds</w:t>
      </w:r>
      <w:r w:rsidR="004E34E3" w:rsidRPr="004E34E3">
        <w:t>,</w:t>
      </w:r>
      <w:r w:rsidRPr="004E34E3">
        <w:t xml:space="preserve"> cutting administrative waste and s</w:t>
      </w:r>
      <w:r w:rsidR="00B922CF">
        <w:t>ignificantly speeding up the</w:t>
      </w:r>
      <w:r w:rsidRPr="004E34E3">
        <w:t xml:space="preserve"> appeal </w:t>
      </w:r>
      <w:r w:rsidR="00B922CF">
        <w:t>process</w:t>
      </w:r>
      <w:r w:rsidRPr="004E34E3">
        <w:t>.</w:t>
      </w:r>
    </w:p>
    <w:p w14:paraId="67E7461B" w14:textId="439D30A4" w:rsidR="00307CF4" w:rsidRPr="004E34E3" w:rsidRDefault="00307CF4" w:rsidP="00307CF4">
      <w:pPr>
        <w:pStyle w:val="font-claude-response-body"/>
        <w:numPr>
          <w:ilvl w:val="0"/>
          <w:numId w:val="1"/>
        </w:numPr>
      </w:pPr>
      <w:r w:rsidRPr="004E34E3">
        <w:rPr>
          <w:rStyle w:val="Strong"/>
        </w:rPr>
        <w:t>Risk Adjustment and HCC Coding:</w:t>
      </w:r>
      <w:r w:rsidRPr="004E34E3">
        <w:t xml:space="preserve"> Missed hierarchical condition categories (HCCs) mean inaccurate risk scores and lost revenue. NLP-driven extraction from clinical documentation helps ensure that the full picture of a patient's health is captured at </w:t>
      </w:r>
      <w:r w:rsidR="00B922CF">
        <w:t>decision</w:t>
      </w:r>
      <w:r w:rsidRPr="004E34E3">
        <w:t xml:space="preserve"> time.</w:t>
      </w:r>
    </w:p>
    <w:p w14:paraId="2E7977EA" w14:textId="77777777" w:rsidR="00307CF4" w:rsidRPr="004E34E3" w:rsidRDefault="00307CF4" w:rsidP="00307CF4">
      <w:pPr>
        <w:pStyle w:val="font-claude-response-body"/>
        <w:numPr>
          <w:ilvl w:val="0"/>
          <w:numId w:val="1"/>
        </w:numPr>
      </w:pPr>
      <w:r w:rsidRPr="004E34E3">
        <w:rPr>
          <w:rStyle w:val="Strong"/>
        </w:rPr>
        <w:t>Claims Integrity:</w:t>
      </w:r>
      <w:r w:rsidRPr="004E34E3">
        <w:t xml:space="preserve"> Unsupported billing codes are a persistent source of fraud, waste, and abuse. Automated cross-referencing of ICD-10 and CPT codes against the underlying clinical notes can catch mismatches before a claim is ever paid.</w:t>
      </w:r>
    </w:p>
    <w:p w14:paraId="04FA1A63" w14:textId="493C49C4" w:rsidR="00307CF4" w:rsidRPr="004E34E3" w:rsidRDefault="00307CF4" w:rsidP="00307CF4">
      <w:pPr>
        <w:pStyle w:val="font-claude-response-body"/>
        <w:numPr>
          <w:ilvl w:val="0"/>
          <w:numId w:val="1"/>
        </w:numPr>
      </w:pPr>
      <w:r w:rsidRPr="004E34E3">
        <w:rPr>
          <w:rStyle w:val="Strong"/>
        </w:rPr>
        <w:t>Clinical Documentation Improvement (CDI):</w:t>
      </w:r>
      <w:r w:rsidRPr="004E34E3">
        <w:t xml:space="preserve"> Physicians are not coders, and the </w:t>
      </w:r>
      <w:r w:rsidR="00C4526C">
        <w:t xml:space="preserve">difference </w:t>
      </w:r>
      <w:r w:rsidRPr="004E34E3">
        <w:t>between what they write and what billing requires costs health systems real money. Real-time NLP feedback at the point of documentation helps close that gap without adding burden to the clinician.</w:t>
      </w:r>
    </w:p>
    <w:p w14:paraId="28E84C4F" w14:textId="77777777" w:rsidR="00307CF4" w:rsidRPr="004E34E3" w:rsidRDefault="00307CF4" w:rsidP="00307CF4">
      <w:pPr>
        <w:pStyle w:val="font-claude-response-body"/>
        <w:ind w:left="720"/>
        <w:rPr>
          <w:rStyle w:val="Strong"/>
        </w:rPr>
      </w:pPr>
    </w:p>
    <w:p w14:paraId="4515BC87" w14:textId="77777777" w:rsidR="00307CF4" w:rsidRPr="004E34E3" w:rsidRDefault="00307CF4" w:rsidP="00307CF4">
      <w:pPr>
        <w:pStyle w:val="font-claude-response-body"/>
        <w:ind w:left="720"/>
      </w:pPr>
    </w:p>
    <w:p w14:paraId="09D2FB4B" w14:textId="77777777" w:rsidR="00307CF4" w:rsidRPr="004E34E3" w:rsidRDefault="00307CF4" w:rsidP="00307CF4">
      <w:pPr>
        <w:pStyle w:val="font-claude-response-body"/>
      </w:pPr>
      <w:r w:rsidRPr="004E34E3">
        <w:rPr>
          <w:rStyle w:val="Emphasis"/>
        </w:rPr>
        <w:lastRenderedPageBreak/>
        <w:t>Threats</w:t>
      </w:r>
    </w:p>
    <w:p w14:paraId="7DFF2FFA" w14:textId="4DB2F8B2" w:rsidR="00307CF4" w:rsidRPr="004E34E3" w:rsidRDefault="00307CF4" w:rsidP="00307CF4">
      <w:pPr>
        <w:pStyle w:val="font-claude-response-body"/>
        <w:numPr>
          <w:ilvl w:val="0"/>
          <w:numId w:val="2"/>
        </w:numPr>
      </w:pPr>
      <w:r w:rsidRPr="004E34E3">
        <w:rPr>
          <w:rStyle w:val="Strong"/>
        </w:rPr>
        <w:t>Hallucination Risk:</w:t>
      </w:r>
      <w:r w:rsidRPr="004E34E3">
        <w:t xml:space="preserve"> LLMs are confidently wrong more often than anyone would like. In a clinical context, a fabricated medication history or an incorrect diagnosis code is not just an inconvenience</w:t>
      </w:r>
      <w:r w:rsidR="004E34E3" w:rsidRPr="004E34E3">
        <w:t xml:space="preserve">, </w:t>
      </w:r>
      <w:r w:rsidRPr="004E34E3">
        <w:t xml:space="preserve">it can affect patient care and </w:t>
      </w:r>
      <w:r w:rsidR="00C4526C">
        <w:t>cause</w:t>
      </w:r>
      <w:r w:rsidRPr="004E34E3">
        <w:t xml:space="preserve"> costly disputes.</w:t>
      </w:r>
    </w:p>
    <w:p w14:paraId="41E091D1" w14:textId="096FF246" w:rsidR="00307CF4" w:rsidRPr="004E34E3" w:rsidRDefault="00307CF4" w:rsidP="00307CF4">
      <w:pPr>
        <w:pStyle w:val="font-claude-response-body"/>
        <w:numPr>
          <w:ilvl w:val="0"/>
          <w:numId w:val="2"/>
        </w:numPr>
      </w:pPr>
      <w:r w:rsidRPr="004E34E3">
        <w:rPr>
          <w:rStyle w:val="Strong"/>
        </w:rPr>
        <w:t>PHI and HIPAA Compliance:</w:t>
      </w:r>
      <w:r w:rsidRPr="004E34E3">
        <w:t xml:space="preserve"> Sending protected health information through a third-party API is not </w:t>
      </w:r>
      <w:proofErr w:type="spellStart"/>
      <w:proofErr w:type="gramStart"/>
      <w:r w:rsidRPr="004E34E3">
        <w:t>a</w:t>
      </w:r>
      <w:proofErr w:type="spellEnd"/>
      <w:proofErr w:type="gramEnd"/>
      <w:r w:rsidRPr="004E34E3">
        <w:t xml:space="preserve"> </w:t>
      </w:r>
      <w:r w:rsidR="00C4526C">
        <w:t xml:space="preserve">insignificant </w:t>
      </w:r>
      <w:r w:rsidRPr="004E34E3">
        <w:t xml:space="preserve">decision. Without proper Business Associate Agreements and </w:t>
      </w:r>
      <w:r w:rsidR="00C4526C">
        <w:t>upr</w:t>
      </w:r>
      <w:r w:rsidRPr="004E34E3">
        <w:t xml:space="preserve">ight data handling controls, the compliance exposure is </w:t>
      </w:r>
      <w:r w:rsidR="00C4526C">
        <w:t>ample</w:t>
      </w:r>
      <w:r w:rsidRPr="004E34E3">
        <w:t>.</w:t>
      </w:r>
    </w:p>
    <w:p w14:paraId="5F46CC7A" w14:textId="2818E427" w:rsidR="00307CF4" w:rsidRPr="004E34E3" w:rsidRDefault="00307CF4" w:rsidP="00307CF4">
      <w:pPr>
        <w:pStyle w:val="font-claude-response-body"/>
        <w:numPr>
          <w:ilvl w:val="0"/>
          <w:numId w:val="2"/>
        </w:numPr>
      </w:pPr>
      <w:r w:rsidRPr="004E34E3">
        <w:rPr>
          <w:rStyle w:val="Strong"/>
        </w:rPr>
        <w:t>Explainability Gap:</w:t>
      </w:r>
      <w:r w:rsidRPr="004E34E3">
        <w:t xml:space="preserve"> When a model flags a claim or generates a clinical summary, someone eventually needs to explain why. Most deep learning systems </w:t>
      </w:r>
      <w:r w:rsidR="00C4526C">
        <w:t xml:space="preserve">just </w:t>
      </w:r>
      <w:r w:rsidRPr="004E34E3">
        <w:t>can</w:t>
      </w:r>
      <w:r w:rsidR="00C23F4C">
        <w:t xml:space="preserve">’t </w:t>
      </w:r>
      <w:r w:rsidRPr="004E34E3">
        <w:t>expla</w:t>
      </w:r>
      <w:r w:rsidR="00C23F4C">
        <w:t xml:space="preserve">in things </w:t>
      </w:r>
      <w:r w:rsidRPr="004E34E3">
        <w:t xml:space="preserve">in a </w:t>
      </w:r>
      <w:r w:rsidR="00C23F4C">
        <w:t>way</w:t>
      </w:r>
      <w:r w:rsidRPr="004E34E3">
        <w:t xml:space="preserve"> that satisfies a regulator or </w:t>
      </w:r>
      <w:r w:rsidR="00C23F4C">
        <w:t>that stands up when a provider challenges it</w:t>
      </w:r>
      <w:r w:rsidRPr="004E34E3">
        <w:t>.</w:t>
      </w:r>
    </w:p>
    <w:p w14:paraId="4F0FDF9A" w14:textId="77777777" w:rsidR="00307CF4" w:rsidRPr="004E34E3" w:rsidRDefault="00307CF4" w:rsidP="00307CF4">
      <w:pPr>
        <w:pStyle w:val="font-claude-response-body"/>
        <w:ind w:left="720"/>
      </w:pPr>
    </w:p>
    <w:p w14:paraId="3A1F3E16" w14:textId="77777777" w:rsidR="00307CF4" w:rsidRPr="004E34E3" w:rsidRDefault="00307CF4" w:rsidP="00307CF4">
      <w:pPr>
        <w:pStyle w:val="font-claude-response-body"/>
      </w:pPr>
      <w:r w:rsidRPr="004E34E3">
        <w:rPr>
          <w:rStyle w:val="Strong"/>
        </w:rPr>
        <w:t>Strategic Recommendation for Cotiviti</w:t>
      </w:r>
    </w:p>
    <w:p w14:paraId="5B9D9CB2" w14:textId="22C3C54C" w:rsidR="00307CF4" w:rsidRPr="004E34E3" w:rsidRDefault="00307CF4" w:rsidP="00307CF4">
      <w:pPr>
        <w:pStyle w:val="font-claude-response-body"/>
      </w:pPr>
      <w:r w:rsidRPr="004E34E3">
        <w:t>Cotiviti already sits at the center of the payment integrity and analytics space. The opportunity is to layer intelligence on top of that position rather than build</w:t>
      </w:r>
      <w:r w:rsidR="00C23F4C">
        <w:t>ing</w:t>
      </w:r>
      <w:r w:rsidRPr="004E34E3">
        <w:t xml:space="preserve"> something entirely new. The recommendation is a Clinical Document Intelligence Layer</w:t>
      </w:r>
      <w:r w:rsidR="004E34E3" w:rsidRPr="004E34E3">
        <w:t>,</w:t>
      </w:r>
      <w:r w:rsidRPr="004E34E3">
        <w:t xml:space="preserve"> a modular LLM-powered pipeline that </w:t>
      </w:r>
      <w:r w:rsidR="00C23F4C">
        <w:t>takes</w:t>
      </w:r>
      <w:r w:rsidRPr="004E34E3">
        <w:t xml:space="preserve"> unstructured clinical documents, applies OCR and entity extraction, and produces structured FHIR resources complete with confidence scores and audit traces.</w:t>
      </w:r>
    </w:p>
    <w:p w14:paraId="4891362D" w14:textId="77777777" w:rsidR="00307CF4" w:rsidRPr="004E34E3" w:rsidRDefault="00307CF4" w:rsidP="00307CF4">
      <w:pPr>
        <w:pStyle w:val="font-claude-response-body"/>
      </w:pPr>
      <w:r w:rsidRPr="004E34E3">
        <w:t>In practice, this layer would enable three things Cotiviti cannot easily do today: automated HCC capture from clinical notes to sharpen RAF score accuracy; real-time alignment checks between billing codes and the clinical record to catch unsupported claims before adjudication; and prior authorization decision support that matches extracted clinical criteria against payer policy rules on the fly.</w:t>
      </w:r>
    </w:p>
    <w:p w14:paraId="05D82A34" w14:textId="40D08E44" w:rsidR="00307CF4" w:rsidRPr="004E34E3" w:rsidRDefault="00307CF4" w:rsidP="004E34E3">
      <w:pPr>
        <w:pStyle w:val="font-claude-response-body"/>
        <w:jc w:val="both"/>
      </w:pPr>
      <w:r w:rsidRPr="004E34E3">
        <w:t xml:space="preserve">Building it responsibly means making deliberate architectural choices. A retrieval-augmented generation (RAG) approach would ground every LLM output in a specific source, making the reasoning </w:t>
      </w:r>
      <w:r w:rsidR="00C23F4C">
        <w:t>detectable</w:t>
      </w:r>
      <w:r w:rsidRPr="004E34E3">
        <w:t xml:space="preserve"> and auditable. </w:t>
      </w:r>
      <w:r w:rsidR="00C23F4C">
        <w:t>Implementing</w:t>
      </w:r>
      <w:r w:rsidRPr="004E34E3">
        <w:t xml:space="preserve"> within a HIPAA-compliant private cloud rather than routing PHI through a public </w:t>
      </w:r>
      <w:r w:rsidR="00C23F4C" w:rsidRPr="004E34E3">
        <w:t>API would</w:t>
      </w:r>
      <w:r w:rsidRPr="004E34E3">
        <w:t xml:space="preserve"> address the compliance risk directly. And a human review step for low-confidence outputs would ensure that automation enhances rather than replac</w:t>
      </w:r>
      <w:r w:rsidR="00C23F4C">
        <w:t>ing</w:t>
      </w:r>
      <w:r w:rsidRPr="004E34E3">
        <w:t xml:space="preserve"> clinical judgment.</w:t>
      </w:r>
    </w:p>
    <w:p w14:paraId="50D7B5CD" w14:textId="4940D69A" w:rsidR="00307CF4" w:rsidRPr="004E34E3" w:rsidRDefault="00307CF4" w:rsidP="004E34E3">
      <w:pPr>
        <w:pStyle w:val="font-claude-response-body"/>
        <w:jc w:val="both"/>
      </w:pPr>
      <w:r w:rsidRPr="004E34E3">
        <w:t>The market backdrop makes the timing c</w:t>
      </w:r>
      <w:r w:rsidR="00C23F4C">
        <w:t>onvincing</w:t>
      </w:r>
      <w:r w:rsidRPr="004E34E3">
        <w:t>. Grand View Research projects the global healthcare NLP market will reach $37.0 billion by 2030, growing at a CAGR of 34.7% (Grand View Research, 2024). For a company with Cotiviti's data assets and customer relationships, moving early on clinical NLP infrastructure is not just a product decision</w:t>
      </w:r>
      <w:r w:rsidR="004E34E3" w:rsidRPr="004E34E3">
        <w:t>,</w:t>
      </w:r>
      <w:r w:rsidRPr="004E34E3">
        <w:t xml:space="preserve"> it is a strategic one.</w:t>
      </w:r>
    </w:p>
    <w:p w14:paraId="79903467" w14:textId="77777777" w:rsidR="00307CF4" w:rsidRPr="004E34E3" w:rsidRDefault="00307CF4" w:rsidP="00307CF4">
      <w:pPr>
        <w:pStyle w:val="font-claude-response-body"/>
      </w:pPr>
    </w:p>
    <w:p w14:paraId="6050BAC9" w14:textId="77777777" w:rsidR="00307CF4" w:rsidRPr="004E34E3" w:rsidRDefault="00307CF4" w:rsidP="00307CF4">
      <w:pPr>
        <w:pStyle w:val="font-claude-response-body"/>
      </w:pPr>
    </w:p>
    <w:p w14:paraId="5E8C4F32" w14:textId="77777777" w:rsidR="00307CF4" w:rsidRPr="004E34E3" w:rsidRDefault="00307CF4" w:rsidP="00307CF4">
      <w:pPr>
        <w:pStyle w:val="font-claude-response-body"/>
      </w:pPr>
    </w:p>
    <w:p w14:paraId="33065C8B" w14:textId="77777777" w:rsidR="00AA62F1" w:rsidRPr="004E34E3" w:rsidRDefault="00AA62F1" w:rsidP="00AA62F1">
      <w:pPr>
        <w:pStyle w:val="Heading1"/>
        <w:rPr>
          <w:rFonts w:ascii="Times New Roman" w:hAnsi="Times New Roman" w:cs="Times New Roman"/>
          <w:b/>
          <w:bCs/>
          <w:color w:val="000000" w:themeColor="text1"/>
          <w:sz w:val="24"/>
          <w:szCs w:val="24"/>
        </w:rPr>
      </w:pPr>
      <w:r w:rsidRPr="004E34E3">
        <w:rPr>
          <w:rFonts w:ascii="Times New Roman" w:hAnsi="Times New Roman" w:cs="Times New Roman"/>
          <w:b/>
          <w:bCs/>
          <w:color w:val="000000" w:themeColor="text1"/>
          <w:sz w:val="24"/>
          <w:szCs w:val="24"/>
        </w:rPr>
        <w:lastRenderedPageBreak/>
        <w:t>References</w:t>
      </w:r>
    </w:p>
    <w:p w14:paraId="684739A5" w14:textId="77777777" w:rsidR="00AA62F1" w:rsidRPr="004E34E3" w:rsidRDefault="00AA62F1" w:rsidP="00AA62F1">
      <w:pPr>
        <w:rPr>
          <w:rFonts w:ascii="Times New Roman" w:hAnsi="Times New Roman" w:cs="Times New Roman"/>
        </w:rPr>
      </w:pPr>
    </w:p>
    <w:p w14:paraId="1618FFBD" w14:textId="77777777" w:rsidR="00AA62F1" w:rsidRPr="004E34E3" w:rsidRDefault="00AA62F1" w:rsidP="00AA62F1">
      <w:pPr>
        <w:ind w:left="720" w:hanging="720"/>
        <w:rPr>
          <w:rFonts w:ascii="Times New Roman" w:hAnsi="Times New Roman" w:cs="Times New Roman"/>
        </w:rPr>
      </w:pPr>
      <w:r w:rsidRPr="004E34E3">
        <w:rPr>
          <w:rFonts w:ascii="Times New Roman" w:eastAsia="Arial" w:hAnsi="Times New Roman" w:cs="Times New Roman"/>
        </w:rPr>
        <w:t>Agrawal, M., Hegselmann, S., Lang, H., Kim, Y., &amp; Sontag, D. (2022). Large language models are few-shot clinical information extractors. Proceedings of the 2022 Conference on Empirical Methods in Natural Language Processing, 1998–2022.</w:t>
      </w:r>
    </w:p>
    <w:p w14:paraId="5817B4D3" w14:textId="0F7B700C" w:rsidR="00AA62F1" w:rsidRPr="004E34E3" w:rsidRDefault="00AA62F1" w:rsidP="00AA62F1">
      <w:pPr>
        <w:ind w:left="720" w:hanging="720"/>
        <w:rPr>
          <w:rFonts w:ascii="Times New Roman" w:hAnsi="Times New Roman" w:cs="Times New Roman"/>
        </w:rPr>
      </w:pPr>
      <w:r w:rsidRPr="004E34E3">
        <w:rPr>
          <w:rFonts w:ascii="Times New Roman" w:eastAsia="Arial" w:hAnsi="Times New Roman" w:cs="Times New Roman"/>
        </w:rPr>
        <w:t xml:space="preserve">Devlin, J., Chang, M. </w:t>
      </w:r>
      <w:r w:rsidRPr="004E34E3">
        <w:rPr>
          <w:rFonts w:ascii="Times New Roman" w:eastAsia="Arial" w:hAnsi="Times New Roman" w:cs="Times New Roman"/>
        </w:rPr>
        <w:t>-</w:t>
      </w:r>
      <w:r w:rsidRPr="004E34E3">
        <w:rPr>
          <w:rFonts w:ascii="Times New Roman" w:eastAsia="Arial" w:hAnsi="Times New Roman" w:cs="Times New Roman"/>
        </w:rPr>
        <w:t>W., Lee, K., &amp; Toutanova, K. (2019). BERT: Pre-training of deep bidirectional transformers for language understanding. Proceedings of NAACL-HLT 2019, 4171–4186.</w:t>
      </w:r>
    </w:p>
    <w:p w14:paraId="2080E137" w14:textId="77777777" w:rsidR="00AA62F1" w:rsidRPr="004E34E3" w:rsidRDefault="00AA62F1" w:rsidP="00AA62F1">
      <w:pPr>
        <w:ind w:left="720" w:hanging="720"/>
        <w:rPr>
          <w:rFonts w:ascii="Times New Roman" w:hAnsi="Times New Roman" w:cs="Times New Roman"/>
        </w:rPr>
      </w:pPr>
      <w:r w:rsidRPr="004E34E3">
        <w:rPr>
          <w:rFonts w:ascii="Times New Roman" w:eastAsia="Arial" w:hAnsi="Times New Roman" w:cs="Times New Roman"/>
        </w:rPr>
        <w:t>Grand View Research. (2024). NLP in healthcare and life sciences market size, share &amp; trends analysis report, 2024–2030. Grand View Research. https://www.grandviewresearch.com/press-release/global-nlp-healthcare-life-sciences-market</w:t>
      </w:r>
    </w:p>
    <w:p w14:paraId="0B4CB74D" w14:textId="77777777" w:rsidR="00AA62F1" w:rsidRPr="004E34E3" w:rsidRDefault="00AA62F1" w:rsidP="00AA62F1">
      <w:pPr>
        <w:ind w:left="720" w:hanging="720"/>
        <w:rPr>
          <w:rFonts w:ascii="Times New Roman" w:hAnsi="Times New Roman" w:cs="Times New Roman"/>
        </w:rPr>
      </w:pPr>
      <w:r w:rsidRPr="004E34E3">
        <w:rPr>
          <w:rFonts w:ascii="Times New Roman" w:eastAsia="Arial" w:hAnsi="Times New Roman" w:cs="Times New Roman"/>
        </w:rPr>
        <w:t>Johnson, A. E. W., Pollard, T. J., Shen, L., &amp; Mark, R. G. (2016). MIMIC-III, a freely accessible critical care database. Scientific Data, 3, Article 160035. https://doi.org/10.1038/sdata.2016.35</w:t>
      </w:r>
    </w:p>
    <w:p w14:paraId="1920C0EB" w14:textId="77777777" w:rsidR="00AA62F1" w:rsidRPr="004E34E3" w:rsidRDefault="00AA62F1" w:rsidP="00AA62F1">
      <w:pPr>
        <w:ind w:left="720" w:hanging="720"/>
        <w:rPr>
          <w:rFonts w:ascii="Times New Roman" w:hAnsi="Times New Roman" w:cs="Times New Roman"/>
        </w:rPr>
      </w:pPr>
      <w:r w:rsidRPr="004E34E3">
        <w:rPr>
          <w:rFonts w:ascii="Times New Roman" w:eastAsia="Arial" w:hAnsi="Times New Roman" w:cs="Times New Roman"/>
        </w:rPr>
        <w:t xml:space="preserve">Lee, J., Yoon, W., Kim, S., Kim, D., Kim, S., So, C. H., &amp; Kang, J. (2020). </w:t>
      </w:r>
      <w:proofErr w:type="spellStart"/>
      <w:r w:rsidRPr="004E34E3">
        <w:rPr>
          <w:rFonts w:ascii="Times New Roman" w:eastAsia="Arial" w:hAnsi="Times New Roman" w:cs="Times New Roman"/>
        </w:rPr>
        <w:t>BioBERT</w:t>
      </w:r>
      <w:proofErr w:type="spellEnd"/>
      <w:r w:rsidRPr="004E34E3">
        <w:rPr>
          <w:rFonts w:ascii="Times New Roman" w:eastAsia="Arial" w:hAnsi="Times New Roman" w:cs="Times New Roman"/>
        </w:rPr>
        <w:t>: A pre-trained biomedical language representation model for biomedical text mining. Bioinformatics, 36(4), 1234–1240. https://doi.org/10.1093/bioinformatics/btz682</w:t>
      </w:r>
    </w:p>
    <w:p w14:paraId="1895B6D7" w14:textId="77777777" w:rsidR="00AA62F1" w:rsidRPr="004E34E3" w:rsidRDefault="00AA62F1" w:rsidP="00AA62F1">
      <w:pPr>
        <w:ind w:left="720" w:hanging="720"/>
        <w:rPr>
          <w:rFonts w:ascii="Times New Roman" w:hAnsi="Times New Roman" w:cs="Times New Roman"/>
        </w:rPr>
      </w:pPr>
      <w:r w:rsidRPr="004E34E3">
        <w:rPr>
          <w:rFonts w:ascii="Times New Roman" w:eastAsia="Arial" w:hAnsi="Times New Roman" w:cs="Times New Roman"/>
        </w:rPr>
        <w:t xml:space="preserve">Peng, Y., Yan, S., &amp; Lu, Z. (2019). Transfer learning in biomedical natural language processing: An evaluation of BERT and </w:t>
      </w:r>
      <w:proofErr w:type="spellStart"/>
      <w:r w:rsidRPr="004E34E3">
        <w:rPr>
          <w:rFonts w:ascii="Times New Roman" w:eastAsia="Arial" w:hAnsi="Times New Roman" w:cs="Times New Roman"/>
        </w:rPr>
        <w:t>ELMo</w:t>
      </w:r>
      <w:proofErr w:type="spellEnd"/>
      <w:r w:rsidRPr="004E34E3">
        <w:rPr>
          <w:rFonts w:ascii="Times New Roman" w:eastAsia="Arial" w:hAnsi="Times New Roman" w:cs="Times New Roman"/>
        </w:rPr>
        <w:t xml:space="preserve"> on ten benchmarking datasets. Proceedings of the 18th </w:t>
      </w:r>
      <w:proofErr w:type="spellStart"/>
      <w:r w:rsidRPr="004E34E3">
        <w:rPr>
          <w:rFonts w:ascii="Times New Roman" w:eastAsia="Arial" w:hAnsi="Times New Roman" w:cs="Times New Roman"/>
        </w:rPr>
        <w:t>BioNLP</w:t>
      </w:r>
      <w:proofErr w:type="spellEnd"/>
      <w:r w:rsidRPr="004E34E3">
        <w:rPr>
          <w:rFonts w:ascii="Times New Roman" w:eastAsia="Arial" w:hAnsi="Times New Roman" w:cs="Times New Roman"/>
        </w:rPr>
        <w:t xml:space="preserve"> Workshop and Shared Task, 58–65.</w:t>
      </w:r>
    </w:p>
    <w:p w14:paraId="429403D0" w14:textId="77777777" w:rsidR="00AA62F1" w:rsidRPr="004E34E3" w:rsidRDefault="00AA62F1" w:rsidP="00AA62F1">
      <w:pPr>
        <w:ind w:left="720" w:hanging="720"/>
        <w:rPr>
          <w:rFonts w:ascii="Times New Roman" w:hAnsi="Times New Roman" w:cs="Times New Roman"/>
        </w:rPr>
      </w:pPr>
      <w:r w:rsidRPr="004E34E3">
        <w:rPr>
          <w:rFonts w:ascii="Times New Roman" w:eastAsia="Arial" w:hAnsi="Times New Roman" w:cs="Times New Roman"/>
        </w:rPr>
        <w:t>Singhal, K., Azizi, S., Tu, T., Mahdavi, S. S., Wei, J., Chung, H. W., &amp; Natarajan, V. (2023). Large language models encode clinical knowledge. Nature, 620(7972), 172–180. https://doi.org/10.1038/s41586-023-06291-2</w:t>
      </w:r>
    </w:p>
    <w:p w14:paraId="436314C2" w14:textId="77777777" w:rsidR="00AA62F1" w:rsidRPr="004E34E3" w:rsidRDefault="00AA62F1" w:rsidP="00AA62F1">
      <w:pPr>
        <w:ind w:left="720" w:hanging="720"/>
        <w:rPr>
          <w:rFonts w:ascii="Times New Roman" w:hAnsi="Times New Roman" w:cs="Times New Roman"/>
        </w:rPr>
      </w:pPr>
      <w:r w:rsidRPr="004E34E3">
        <w:rPr>
          <w:rFonts w:ascii="Times New Roman" w:eastAsia="Arial" w:hAnsi="Times New Roman" w:cs="Times New Roman"/>
        </w:rPr>
        <w:t>U.S. Centers for Medicare &amp; Medicaid Services. (2020). CMS interoperability and patient access final rule. Federal Register, 85(81), 25510–25640.</w:t>
      </w:r>
    </w:p>
    <w:p w14:paraId="4B203A48" w14:textId="77777777" w:rsidR="00AA62F1" w:rsidRPr="004E34E3" w:rsidRDefault="00AA62F1" w:rsidP="00AA62F1">
      <w:pPr>
        <w:ind w:left="720" w:hanging="720"/>
        <w:rPr>
          <w:rFonts w:ascii="Times New Roman" w:hAnsi="Times New Roman" w:cs="Times New Roman"/>
        </w:rPr>
      </w:pPr>
      <w:proofErr w:type="spellStart"/>
      <w:r w:rsidRPr="004E34E3">
        <w:rPr>
          <w:rFonts w:ascii="Times New Roman" w:eastAsia="Arial" w:hAnsi="Times New Roman" w:cs="Times New Roman"/>
        </w:rPr>
        <w:t>Uzuner</w:t>
      </w:r>
      <w:proofErr w:type="spellEnd"/>
      <w:r w:rsidRPr="004E34E3">
        <w:rPr>
          <w:rFonts w:ascii="Times New Roman" w:eastAsia="Arial" w:hAnsi="Times New Roman" w:cs="Times New Roman"/>
        </w:rPr>
        <w:t>, O., South, B. R., Shen, S., &amp; DuVall, S. L. (2011). 2010 i2b2/VA challenge on concepts, assertions, and relations in clinical text. Journal of the American Medical Informatics Association, 18(5), 552–556. https://doi.org/10.1136/amiajnl-2011-000203</w:t>
      </w:r>
    </w:p>
    <w:p w14:paraId="560F655D" w14:textId="3056084B" w:rsidR="00700BE8" w:rsidRPr="004E34E3" w:rsidRDefault="00AA62F1" w:rsidP="004E34E3">
      <w:pPr>
        <w:ind w:left="720" w:hanging="720"/>
        <w:rPr>
          <w:rFonts w:ascii="Times New Roman" w:hAnsi="Times New Roman" w:cs="Times New Roman"/>
        </w:rPr>
      </w:pPr>
      <w:r w:rsidRPr="004E34E3">
        <w:rPr>
          <w:rFonts w:ascii="Times New Roman" w:eastAsia="Arial" w:hAnsi="Times New Roman" w:cs="Times New Roman"/>
        </w:rPr>
        <w:t>Wu, S., Roberts, K., Datta, S., Du, J., Ji, Z., Si, Y., &amp; Xu, H. (2020). Deep learning in clinical natural language processing: A methodical review. Journal of the American Medical Informatics Association, 27(3), 457–470. https://doi.org/10.1093/jamia/ocz200</w:t>
      </w:r>
    </w:p>
    <w:sectPr w:rsidR="00700BE8" w:rsidRPr="004E3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69054D"/>
    <w:multiLevelType w:val="multilevel"/>
    <w:tmpl w:val="1430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0F5293"/>
    <w:multiLevelType w:val="multilevel"/>
    <w:tmpl w:val="3B20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508607">
    <w:abstractNumId w:val="1"/>
  </w:num>
  <w:num w:numId="2" w16cid:durableId="5549697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BE8"/>
    <w:rsid w:val="00052823"/>
    <w:rsid w:val="0014763F"/>
    <w:rsid w:val="00307CF4"/>
    <w:rsid w:val="004E34E3"/>
    <w:rsid w:val="005F67F6"/>
    <w:rsid w:val="00690E61"/>
    <w:rsid w:val="00700BE8"/>
    <w:rsid w:val="00AA62F1"/>
    <w:rsid w:val="00B922CF"/>
    <w:rsid w:val="00BC6283"/>
    <w:rsid w:val="00C23F4C"/>
    <w:rsid w:val="00C4526C"/>
    <w:rsid w:val="00C52B2A"/>
    <w:rsid w:val="00F95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D92187"/>
  <w15:chartTrackingRefBased/>
  <w15:docId w15:val="{7D141102-B178-BF4B-B80B-10F0C9A30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BE8"/>
    <w:rPr>
      <w:rFonts w:eastAsiaTheme="majorEastAsia" w:cstheme="majorBidi"/>
      <w:color w:val="272727" w:themeColor="text1" w:themeTint="D8"/>
    </w:rPr>
  </w:style>
  <w:style w:type="paragraph" w:styleId="Title">
    <w:name w:val="Title"/>
    <w:basedOn w:val="Normal"/>
    <w:next w:val="Normal"/>
    <w:link w:val="TitleChar"/>
    <w:uiPriority w:val="10"/>
    <w:qFormat/>
    <w:rsid w:val="00700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BE8"/>
    <w:pPr>
      <w:spacing w:before="160"/>
      <w:jc w:val="center"/>
    </w:pPr>
    <w:rPr>
      <w:i/>
      <w:iCs/>
      <w:color w:val="404040" w:themeColor="text1" w:themeTint="BF"/>
    </w:rPr>
  </w:style>
  <w:style w:type="character" w:customStyle="1" w:styleId="QuoteChar">
    <w:name w:val="Quote Char"/>
    <w:basedOn w:val="DefaultParagraphFont"/>
    <w:link w:val="Quote"/>
    <w:uiPriority w:val="29"/>
    <w:rsid w:val="00700BE8"/>
    <w:rPr>
      <w:i/>
      <w:iCs/>
      <w:color w:val="404040" w:themeColor="text1" w:themeTint="BF"/>
    </w:rPr>
  </w:style>
  <w:style w:type="paragraph" w:styleId="ListParagraph">
    <w:name w:val="List Paragraph"/>
    <w:basedOn w:val="Normal"/>
    <w:uiPriority w:val="34"/>
    <w:qFormat/>
    <w:rsid w:val="00700BE8"/>
    <w:pPr>
      <w:ind w:left="720"/>
      <w:contextualSpacing/>
    </w:pPr>
  </w:style>
  <w:style w:type="character" w:styleId="IntenseEmphasis">
    <w:name w:val="Intense Emphasis"/>
    <w:basedOn w:val="DefaultParagraphFont"/>
    <w:uiPriority w:val="21"/>
    <w:qFormat/>
    <w:rsid w:val="00700BE8"/>
    <w:rPr>
      <w:i/>
      <w:iCs/>
      <w:color w:val="0F4761" w:themeColor="accent1" w:themeShade="BF"/>
    </w:rPr>
  </w:style>
  <w:style w:type="paragraph" w:styleId="IntenseQuote">
    <w:name w:val="Intense Quote"/>
    <w:basedOn w:val="Normal"/>
    <w:next w:val="Normal"/>
    <w:link w:val="IntenseQuoteChar"/>
    <w:uiPriority w:val="30"/>
    <w:qFormat/>
    <w:rsid w:val="00700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BE8"/>
    <w:rPr>
      <w:i/>
      <w:iCs/>
      <w:color w:val="0F4761" w:themeColor="accent1" w:themeShade="BF"/>
    </w:rPr>
  </w:style>
  <w:style w:type="character" w:styleId="IntenseReference">
    <w:name w:val="Intense Reference"/>
    <w:basedOn w:val="DefaultParagraphFont"/>
    <w:uiPriority w:val="32"/>
    <w:qFormat/>
    <w:rsid w:val="00700BE8"/>
    <w:rPr>
      <w:b/>
      <w:bCs/>
      <w:smallCaps/>
      <w:color w:val="0F4761" w:themeColor="accent1" w:themeShade="BF"/>
      <w:spacing w:val="5"/>
    </w:rPr>
  </w:style>
  <w:style w:type="paragraph" w:customStyle="1" w:styleId="font-claude-response-body">
    <w:name w:val="font-claude-response-body"/>
    <w:basedOn w:val="Normal"/>
    <w:rsid w:val="00307C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7CF4"/>
    <w:rPr>
      <w:b/>
      <w:bCs/>
    </w:rPr>
  </w:style>
  <w:style w:type="character" w:styleId="Emphasis">
    <w:name w:val="Emphasis"/>
    <w:basedOn w:val="DefaultParagraphFont"/>
    <w:uiPriority w:val="20"/>
    <w:qFormat/>
    <w:rsid w:val="00307C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1419</Words>
  <Characters>8092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 Ravishankar</dc:creator>
  <cp:keywords/>
  <dc:description/>
  <cp:lastModifiedBy>Nisha Ravishankar</cp:lastModifiedBy>
  <cp:revision>5</cp:revision>
  <dcterms:created xsi:type="dcterms:W3CDTF">2026-06-28T03:59:00Z</dcterms:created>
  <dcterms:modified xsi:type="dcterms:W3CDTF">2026-06-28T04:56:00Z</dcterms:modified>
</cp:coreProperties>
</file>