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Self-Adaptive Investment System for Blockchain Assets</w:t>
      </w:r>
    </w:p>
    <w:p>
      <w:pPr>
        <w:spacing w:after="120"/>
        <w:jc w:val="center"/>
      </w:pPr>
      <w:r>
        <w:rPr>
          <w:rFonts w:ascii="Times New Roman" w:hAnsi="Times New Roman"/>
          <w:sz w:val="23"/>
        </w:rPr>
        <w:t>Mingwei Zhang</w:t>
      </w:r>
    </w:p>
    <w:p>
      <w:pPr>
        <w:spacing w:after="120"/>
        <w:jc w:val="center"/>
      </w:pPr>
      <w:r>
        <w:rPr>
          <w:rFonts w:ascii="Times New Roman" w:hAnsi="Times New Roman"/>
          <w:sz w:val="23"/>
        </w:rPr>
        <w:t>Independent Researcher, Singapore</w:t>
      </w:r>
    </w:p>
    <w:p>
      <w:pPr>
        <w:spacing w:after="120"/>
        <w:jc w:val="center"/>
      </w:pPr>
      <w:r>
        <w:rPr>
          <w:rFonts w:ascii="Times New Roman" w:hAnsi="Times New Roman"/>
          <w:sz w:val="23"/>
        </w:rPr>
        <w:t>March 2026</w:t>
      </w:r>
    </w:p>
    <w:p>
      <w:pPr>
        <w:spacing w:before="240" w:after="120"/>
        <w:jc w:val="left"/>
      </w:pPr>
      <w:r>
        <w:rPr>
          <w:rFonts w:ascii="Times New Roman" w:hAnsi="Times New Roman"/>
          <w:b/>
          <w:sz w:val="28"/>
        </w:rPr>
        <w:t>Abstract</w:t>
      </w:r>
    </w:p>
    <w:p>
      <w:pPr>
        <w:spacing w:lineRule="auto" w:line="276" w:after="120"/>
        <w:jc w:val="both"/>
      </w:pPr>
      <w:r>
        <w:rPr>
          <w:rFonts w:ascii="Times New Roman" w:hAnsi="Times New Roman"/>
          <w:sz w:val="24"/>
        </w:rPr>
        <w:t>This report proposes a self-adaptive portfolio system integrating multi-factor models and AI-driven parameter tuning, tailored for blockchain-native assets (e.g. Ethereum) but extensible to traditional assets. We first review the literature on multi-factor investing, regime-switching/adaptive portfolios, and online/AI-based tuning (RL, bandits, meta-learning, Bayesian methods). Next, we catalog Ethereum’s distinct return streams – staking yields, transaction fees, MEV/validator rewards, airdrops, token inflation, liquidity/mining incentives, lending rates, governance incentives, and price movements – summarizing drivers, timescales, risks, data sources and empirical stats in a comparative table. We outline a modular system architecture (data pipeline, factor construction, risk model, optimizer, AI tuner, execution, monitoring) and provide a Mermaid block diagram. We then discuss modeling approaches for factors (linear, nonlinear, Bayesian, state-space/regime) and for blending heterogeneous returns, and survey AI tuning methods (policy-gradient RL, contextual bandits, Bayesian optimization, meta-learning) with their tradeoffs (sample efficiency, stability, safe exploration). For backtesting, we emphasize realistic simulation (transaction costs, slippage, on-chain constraints, adversarial stress, walk-forward validation) and evaluation metrics (Sharpe, Sortino, drawdown, tail risk, turnover, realized vs. expected returns). We suggest hypothetical strategy comparisons across regimes. Finally, we give an implementation roadmap (data APIs, timeline tasks in Mermaid Gantt, compute and open-source tools) and discuss risks/governance: model risk, data integrity/oracles, regulatory issues, and the need for explainability. All claims are supported by recent literature and data sources.</w:t>
      </w:r>
    </w:p>
    <w:p>
      <w:pPr>
        <w:sectPr>
          <w:pgSz w:w="12240" w:h="15840"/>
          <w:pgMar w:top="1440" w:right="1440" w:bottom="1440" w:left="1440" w:header="720" w:footer="720" w:gutter="0"/>
          <w:docGrid w:linePitch="360"/>
          <w:cols w:num="1"/>
        </w:sectPr>
      </w:pPr>
    </w:p>
    <w:p>
      <w:pPr>
        <w:spacing w:before="240" w:after="120"/>
        <w:jc w:val="left"/>
      </w:pPr>
      <w:r>
        <w:rPr>
          <w:rFonts w:ascii="Times New Roman" w:hAnsi="Times New Roman"/>
          <w:b/>
          <w:sz w:val="28"/>
        </w:rPr>
        <w:t>Related Work</w:t>
      </w:r>
    </w:p>
    <w:p>
      <w:pPr>
        <w:spacing w:lineRule="auto" w:line="276" w:after="120"/>
        <w:jc w:val="both"/>
      </w:pPr>
      <w:r>
        <w:rPr>
          <w:rFonts w:ascii="Times New Roman" w:hAnsi="Times New Roman"/>
          <w:sz w:val="24"/>
        </w:rPr>
        <w:t>Multi-Factor and Factor-Timing Models: Multi-factor models decompose asset returns into contributions from risk factors (e.g. market, size, value, momentum) and are foundational in asset pricing[1]. Classical models (Sharpe’s CAPM, Fama–French 3/5-factor, Carhart 4-factor, etc.) assume static betas and linear exposures. Modern approaches relax these assumptions via time-varying and regime-dependent factors. For example, regime-switching factor models treat market regimes (bull, bear, neutral) as latent states that modulate factor sensitivities[2]. Zhu (2022) fits a regime-switching factor model to cryptocurrency returns, finding that a moderate number of regimes optimally explain joint equity and factor dynamics[3]. Embedding latent regime models (e.g. Hidden Markov Models on volatility/correlation) into portfolio allocation has been shown to improve risk-adjusted returns. Thang (2025) applies HMM-regime detection to equity portfolios and trains a PPO-based allocation agent; the regime-aware RL strategy significantly outperforms static benchmarks in Sharpe and drawdown[2][4]. In general, adaptive portfolios that infer latent regimes can adjust exposures in response to market shifts, mitigating tail risk and structural breaks. Nixon (2025) similarly finds that RL agents incorporating probabilistic regime signals achieve greater stability and performance than naive strategies[5][2].</w:t>
      </w:r>
    </w:p>
    <w:p>
      <w:pPr>
        <w:spacing w:lineRule="auto" w:line="276" w:after="120"/>
        <w:jc w:val="both"/>
      </w:pPr>
      <w:r>
        <w:rPr>
          <w:rFonts w:ascii="Times New Roman" w:hAnsi="Times New Roman"/>
          <w:sz w:val="24"/>
        </w:rPr>
        <w:t>Adaptive and Online Allocation (RL, Bandits, Bayesian): Recent research extensively explores AI and online learning for portfolio selection. Deep RL (e.g. DDPG, PPO) trained on historical data can learn dynamic allocation policies that often exceed traditional mean–variance portfolios in practice[6][7]. For example, Sood et al. (2026) report that a well-tuned DRL agent attains higher Sharpe, lower drawdown and absolute returns than classical MVO[7]. Bandit algorithms provide a lighter-touch approach: contextual bandits (e.g. LinUCB, Thompson Sampling) use market features as context to select between discrete strategy “arms”. Ozkaya &amp; Wang (2020) show that contextual bandits with relevant financial context can outperform classical methods, consistently yielding higher Sharpe ratios under proper reward modeling[8]. Bayesian optimization (BO) is leveraged as a sample-efficient hyperparameter tuner. Zinuo You et al. (2025) propose an adaptive BO framework (TPE-AS) that explicitly trades off maximizing expected return vs. stability; this yields a more stable search and improved Sharpe for portfolio models under tight evaluation budgets[9]. Finally, meta-learning approaches (e.g. Model-Agnostic Meta-Learning) train across many market environments to learn initialization or strategy mixtures that rapidly adapt to new regimes. Shen et al. (2025) use a mixture-of-policies meta-learning method to dynamically allocate among specialist strategies; by meta-training on multiple market segments, their system quickly rebalances to new conditions and shows superior robustness with limited training data[10][11]. In summary, the literature finds that modern AI methods (RL, bandits, meta-learning, BO) can tune portfolio parameters adaptively, but they trade off sample efficiency, stability, and explainability. Surveys note that deep learning and RL have become increasingly prominent in quantitative portfolio research[12], yet they often require careful validation to avoid overfitting.</w:t>
      </w:r>
    </w:p>
    <w:p>
      <w:pPr>
        <w:spacing w:lineRule="auto" w:line="276" w:after="120"/>
        <w:jc w:val="both"/>
      </w:pPr>
      <w:r>
        <w:rPr>
          <w:rFonts w:ascii="Times New Roman" w:hAnsi="Times New Roman"/>
          <w:sz w:val="24"/>
        </w:rPr>
        <w:t>2. Return Streams of a Blockchain Asset (Ethereum)</w:t>
      </w:r>
    </w:p>
    <w:p>
      <w:pPr>
        <w:spacing w:lineRule="auto" w:line="276" w:after="120"/>
        <w:jc w:val="both"/>
      </w:pPr>
      <w:r>
        <w:rPr>
          <w:rFonts w:ascii="Times New Roman" w:hAnsi="Times New Roman"/>
          <w:sz w:val="24"/>
        </w:rPr>
        <w:t>A single blockchain asset like Ethereum generates multiple, heterogeneous return streams beyond simple price changes. Table 1 compares key streams:</w:t>
      </w:r>
    </w:p>
    <w:p>
      <w:pPr>
        <w:spacing w:lineRule="auto" w:line="276" w:after="120"/>
        <w:jc w:val="both"/>
      </w:pPr>
      <w:r>
        <w:rPr>
          <w:rFonts w:ascii="Times New Roman" w:hAnsi="Times New Roman"/>
          <w:sz w:val="24"/>
        </w:rPr>
        <w:t>Table 1: Comparison of Ethereum return streams. Data sources include on-chain explorers (e.g. Etherscan, BeaconChain), analytics platforms (Coin Metrics, Glassnode, DeFiLlama), and academic/industry reports. For example, Ethereum’s average transaction fee fell from &gt;$24 in Feb 2021 to ~$0.76 by Feb 2025[14], and base staking yield is ~3% nominal[13] (2.73% real).</w:t>
      </w:r>
    </w:p>
    <w:p>
      <w:pPr>
        <w:spacing w:lineRule="auto" w:line="276" w:after="120"/>
        <w:jc w:val="both"/>
      </w:pPr>
      <w:r>
        <w:rPr>
          <w:rFonts w:ascii="Times New Roman" w:hAnsi="Times New Roman"/>
          <w:sz w:val="24"/>
        </w:rPr>
        <w:t>Each stream has distinct drivers and risks. Staking rewards (validator block rewards) provide a stable baseline return (~2–4% APY) and are easily computed from beacon-chain data[13]. Transaction fees and MEV depend on network congestion and DeFi activity; they can spike (e.g. 2021) or collapse in quiet periods[14][15]. Airdrops and liquidity mining are idiosyncratic: they can yield large one-time payoffs but come with high protocol and timing risk. Token inflation slowly erodes nominal returns (currently ~0.35%/yr) but heavy fee burns can offset this. Lending rates fluctuate with short-term demand. Finally, price moves often dominate total returns but are extremely volatile. Importantly, all these streams are measurable through blockchain and DeFi data: e.g. Ethereum’s staking yield and inflation are tracked by CoinMetrics, while transaction fees are recorded per block[13][14].</w:t>
      </w:r>
    </w:p>
    <w:p>
      <w:pPr>
        <w:spacing w:lineRule="auto" w:line="276" w:after="120"/>
        <w:jc w:val="both"/>
      </w:pPr>
      <w:r>
        <w:rPr>
          <w:rFonts w:ascii="Times New Roman" w:hAnsi="Times New Roman"/>
          <w:sz w:val="24"/>
        </w:rPr>
        <w:t>3. System Architecture</w:t>
      </w:r>
    </w:p>
    <w:p>
      <w:pPr>
        <w:spacing w:lineRule="auto" w:line="276" w:after="120"/>
        <w:jc w:val="both"/>
      </w:pPr>
      <w:r>
        <w:rPr>
          <w:rFonts w:ascii="Times New Roman" w:hAnsi="Times New Roman"/>
          <w:sz w:val="24"/>
        </w:rPr>
        <w:t>We propose a modular architecture (Figure 1) for the self-adaptive investment system. Key components include:</w:t>
      </w:r>
    </w:p>
    <w:p>
      <w:pPr>
        <w:spacing w:lineRule="auto" w:line="276" w:after="120"/>
        <w:jc w:val="both"/>
      </w:pPr>
      <w:r>
        <w:rPr>
          <w:rFonts w:ascii="Times New Roman" w:hAnsi="Times New Roman"/>
          <w:sz w:val="24"/>
        </w:rPr>
        <w:t>Data Pipeline: Ingest on-chain and market data (blockchain explorers, DeFi protocols, price feeds, macro indicators). Clean and store in a time-series database for analysis. Ensure low-latency data flows for real-time decisions.</w:t>
      </w:r>
    </w:p>
    <w:p>
      <w:pPr>
        <w:spacing w:lineRule="auto" w:line="276" w:after="120"/>
        <w:jc w:val="both"/>
      </w:pPr>
      <w:r>
        <w:rPr>
          <w:rFonts w:ascii="Times New Roman" w:hAnsi="Times New Roman"/>
          <w:sz w:val="24"/>
        </w:rPr>
        <w:t>Feature/Factor Engineering: Compute factors and signals from raw data (technical indicators, fundamental metrics, blockchain-specific features like network utilization, wallet flows). Decompose returns by stream (as above) and construct factor returns.</w:t>
      </w:r>
    </w:p>
    <w:p>
      <w:pPr>
        <w:spacing w:lineRule="auto" w:line="276" w:after="120"/>
        <w:jc w:val="both"/>
      </w:pPr>
      <w:r>
        <w:rPr>
          <w:rFonts w:ascii="Times New Roman" w:hAnsi="Times New Roman"/>
          <w:sz w:val="24"/>
        </w:rPr>
        <w:t>Risk Model: Estimate covariance and higher moments of the multi-stream factors (possibly via shrinking covariance, factor models, or regime-specific covariances). Include stress-test scenarios (volatility spikes, regime shifts).</w:t>
      </w:r>
    </w:p>
    <w:p>
      <w:pPr>
        <w:spacing w:lineRule="auto" w:line="276" w:after="120"/>
        <w:jc w:val="both"/>
      </w:pPr>
      <w:r>
        <w:rPr>
          <w:rFonts w:ascii="Times New Roman" w:hAnsi="Times New Roman"/>
          <w:sz w:val="24"/>
        </w:rPr>
        <w:t>Allocation Engine: Solve portfolio weights among assets or strategies. Could use mean-variance/quadratic optimization, robust/minimax approaches, or other risk-parity frameworks. Incorporate constraints (leverage, drawdown limits).</w:t>
      </w:r>
    </w:p>
    <w:p>
      <w:pPr>
        <w:spacing w:lineRule="auto" w:line="276" w:after="120"/>
        <w:jc w:val="both"/>
      </w:pPr>
      <w:r>
        <w:rPr>
          <w:rFonts w:ascii="Times New Roman" w:hAnsi="Times New Roman"/>
          <w:sz w:val="24"/>
        </w:rPr>
        <w:t>AI Parameter Tuner: An online learning layer that tunes model/hyperparameters and strategy weights. This may be a reinforcement learning agent, contextual bandit, or meta-learning system that adjusts factor exposures or execution policies based on observed performance and changing environments.</w:t>
      </w:r>
    </w:p>
    <w:p>
      <w:pPr>
        <w:spacing w:lineRule="auto" w:line="276" w:after="120"/>
        <w:jc w:val="both"/>
      </w:pPr>
      <w:r>
        <w:rPr>
          <w:rFonts w:ascii="Times New Roman" w:hAnsi="Times New Roman"/>
          <w:sz w:val="24"/>
        </w:rPr>
        <w:t>Execution Layer: Interface with exchanges and on-chain operations. Converts target allocations into trades or staking/deFi actions, considering transaction costs, order book liquidity, gas fees, and rate limits.</w:t>
      </w:r>
    </w:p>
    <w:p>
      <w:pPr>
        <w:spacing w:lineRule="auto" w:line="276" w:after="120"/>
        <w:jc w:val="both"/>
      </w:pPr>
      <w:r>
        <w:rPr>
          <w:rFonts w:ascii="Times New Roman" w:hAnsi="Times New Roman"/>
          <w:sz w:val="24"/>
        </w:rPr>
        <w:t>Monitoring and Governance: Continuously track performance, risk metrics, model drift, and alerts. Provide dashboards and logging. Implement safe-exploration guards (e.g. position limits or risk budgets). Human oversight and interpretability are crucial for governance and compliance.</w:t>
      </w:r>
    </w:p>
    <w:p>
      <w:pPr>
        <w:spacing w:lineRule="auto" w:line="276" w:after="120"/>
        <w:jc w:val="both"/>
      </w:pPr>
      <w:r>
        <w:rPr>
          <w:rFonts w:ascii="Times New Roman" w:hAnsi="Times New Roman"/>
          <w:sz w:val="24"/>
        </w:rPr>
        <w:t>A high-level system diagram is shown below:</w:t>
      </w:r>
    </w:p>
    <w:p>
      <w:pPr>
        <w:spacing w:lineRule="auto" w:line="276" w:after="120"/>
        <w:jc w:val="both"/>
      </w:pPr>
      <w:r>
        <w:rPr>
          <w:rFonts w:ascii="Times New Roman" w:hAnsi="Times New Roman"/>
          <w:sz w:val="24"/>
        </w:rPr>
        <w:t>flowchart LR</w:t>
        <w:br/>
        <w:t xml:space="preserve">    subgraph Data_Pipeline</w:t>
        <w:br/>
        <w:t xml:space="preserve">        A[Market and On-Chain Data] --&gt; B[Data Preprocessing &amp; Storage]</w:t>
        <w:br/>
        <w:t xml:space="preserve">        B --&gt; C[Feature Engineering &amp; Factors]</w:t>
        <w:br/>
        <w:t xml:space="preserve">        C --&gt; D[Factor &amp; Return-Stream Library]</w:t>
        <w:br/>
        <w:t xml:space="preserve">    end</w:t>
        <w:br/>
        <w:t xml:space="preserve">    subgraph Modeling</w:t>
        <w:br/>
        <w:t xml:space="preserve">        D --&gt; E[Risk Model (Covariance, Stress)]</w:t>
        <w:br/>
        <w:t xml:space="preserve">        E --&gt; F[Portfolio Allocation Engine]</w:t>
        <w:br/>
        <w:t xml:space="preserve">        F --&gt; G[AI Parameter Tuner (RL/Bandit)]</w:t>
        <w:br/>
        <w:t xml:space="preserve">    end</w:t>
        <w:br/>
        <w:t xml:space="preserve">    subgraph Execution</w:t>
        <w:br/>
        <w:t xml:space="preserve">        G --&gt; H[Execution System (Trades, Staking, DeFi)]</w:t>
        <w:br/>
        <w:t xml:space="preserve">    end</w:t>
        <w:br/>
        <w:t xml:space="preserve">    subgraph Monitoring</w:t>
        <w:br/>
        <w:t xml:space="preserve">        H --&gt; I[Performance &amp; Risk Monitoring]</w:t>
        <w:br/>
        <w:t xml:space="preserve">        I --&gt; G</w:t>
        <w:br/>
        <w:t xml:space="preserve">    end</w:t>
        <w:br/>
        <w:t xml:space="preserve">    B --&gt; K[Historical Data Archive]</w:t>
        <w:br/>
        <w:t xml:space="preserve">    K --&gt; C</w:t>
        <w:br/>
        <w:t xml:space="preserve">    A --&gt; K</w:t>
      </w:r>
    </w:p>
    <w:p>
      <w:pPr>
        <w:spacing w:lineRule="auto" w:line="276" w:after="120"/>
        <w:jc w:val="both"/>
      </w:pPr>
      <w:r>
        <w:rPr>
          <w:rFonts w:ascii="Times New Roman" w:hAnsi="Times New Roman"/>
          <w:sz w:val="24"/>
        </w:rPr>
        <w:t>Figure 1: Modular architecture (data, modeling, execution, monitoring). Arrows indicate data/control flows. Feedback from monitoring informs the AI tuner. Data pipelines feed both real-time and historical analysis.</w:t>
      </w:r>
    </w:p>
    <w:p>
      <w:pPr>
        <w:spacing w:lineRule="auto" w:line="276" w:after="120"/>
        <w:jc w:val="both"/>
      </w:pPr>
      <w:r>
        <w:rPr>
          <w:rFonts w:ascii="Times New Roman" w:hAnsi="Times New Roman"/>
          <w:sz w:val="24"/>
        </w:rPr>
        <w:t>In practice, each module may consist of multiple services/microservices. For example, the Data Pipeline may gather (a) on-chain data via blockchain node APIs or The Graph, (b) DeFi protocol data via on-chain queries or off-chain APIs, (c) traditional market data (prices, rates) via data vendors (CCXT, Bloombergs). Feature engineering must handle irregular timestamps (block times) and interleave traditional and blockchain features. Latency and costs: On-chain orders have block-time delays and gas costs; the system must simulate these in strategy logic. Fast execution (e.g. MEV extraction) may require co-location or special APIs (Flashbots).</w:t>
      </w:r>
    </w:p>
    <w:p>
      <w:pPr>
        <w:spacing w:lineRule="auto" w:line="276" w:after="120"/>
        <w:jc w:val="both"/>
      </w:pPr>
      <w:r>
        <w:rPr>
          <w:rFonts w:ascii="Times New Roman" w:hAnsi="Times New Roman"/>
          <w:sz w:val="24"/>
        </w:rPr>
        <w:t>4. Modeling Approaches</w:t>
      </w:r>
    </w:p>
    <w:p>
      <w:pPr>
        <w:spacing w:lineRule="auto" w:line="276" w:after="120"/>
        <w:jc w:val="both"/>
      </w:pPr>
      <w:r>
        <w:rPr>
          <w:rFonts w:ascii="Times New Roman" w:hAnsi="Times New Roman"/>
          <w:sz w:val="24"/>
        </w:rPr>
        <w:t>Factor Models: Candidate models range from simple linear factor models to complex nonparametric ones. Traditional linear models (CAPM, multi-factor regressions) are straightforward but may miss nonlinearities. Nonlinear machine-learning models (decision trees, gradient boosting, neural networks) can capture complex factor interactions but risk overfitting. Hierarchical Bayesian factor models can share statistical strength across related assets or regimes, providing shrinkage and handling uncertainty in parameters. State-space and regime models (e.g. Kalman filters, hidden Markov switching) explicitly allow factors or betas to evolve over time or differ by latent regime. For example, a switching factor model can assign a probability to “bull” vs “bear” regime each day, with separate factor loadings, thus capturing cyclical patterns[2][3].</w:t>
      </w:r>
    </w:p>
    <w:p>
      <w:pPr>
        <w:spacing w:lineRule="auto" w:line="276" w:after="120"/>
        <w:jc w:val="both"/>
      </w:pPr>
      <w:r>
        <w:rPr>
          <w:rFonts w:ascii="Times New Roman" w:hAnsi="Times New Roman"/>
          <w:sz w:val="24"/>
        </w:rPr>
        <w:t>Combining Heterogeneous Returns: When multiple return streams exist, one approach is to model each stream separately (e.g. a forecasting model for fees, another for staking yield) and then aggregate. Another is to include stream identifiers as features in a unified model. Ensemble or mixture-of-experts methods can weigh different sub-models. Statistical models such as dynamic factor models or copulas may link streams. The key is acknowledging that e.g. ETH price returns are influenced by many of the other streams (staking yield can be viewed as a “carry” factor, fees/MEV as liquidity factors, etc.).</w:t>
      </w:r>
    </w:p>
    <w:p>
      <w:pPr>
        <w:spacing w:lineRule="auto" w:line="276" w:after="120"/>
        <w:jc w:val="both"/>
      </w:pPr>
      <w:r>
        <w:rPr>
          <w:rFonts w:ascii="Times New Roman" w:hAnsi="Times New Roman"/>
          <w:sz w:val="24"/>
        </w:rPr>
        <w:t>Parameter Tuning Methods:</w:t>
        <w:br/>
        <w:t>- Policy-Gradient Reinforcement Learning (RL): Methods like PPO or Actor-Critic can treat portfolio rebalancing as an MDP, with the policy outputting allocation weights and a reward based on utility (e.g. risk-adjusted return). RL handles high-dimensional or nonlinear policies but usually needs large data/training (and care to prevent catastrophic drawdowns). Safe RL variants impose risk constraints in the reward or via action limits[16][17].</w:t>
        <w:br/>
        <w:t>- Pros: Learns complex adaptive policies, can incorporate regime signals.</w:t>
        <w:br/>
        <w:t>- Cons: Sample-inefficient (requires many training episodes), may be unstable or exploit backtest overfitting.</w:t>
        <w:br/>
        <w:t>- Contextual Bandits: These learn to choose among discrete strategies or factor-tilts based on current market context. For example, a bandit could switch between “momentum-heavy” vs “value-heavy” factor portfolios depending on regime features. Bandits update incrementally and balance exploration-exploitation. Ozkaya &amp; Wang (2020) show contextual bandits can automate portfolio choice and outperform static allocations when context is informative[8].</w:t>
        <w:br/>
        <w:t>- Pros: Generally more sample-efficient than full RL (fewer parameters), easier theoretical guarantees on regret.</w:t>
        <w:br/>
        <w:t>- Cons: Typically limited to selecting among predefined options (not continuous weights), still risk of poor early choices.</w:t>
        <w:br/>
        <w:t>- Bayesian Optimization (BO): Treating the portfolio/hyperparameter selection as a black-box optimization, BO (e.g. Gaussian Process or TPE-based) iteratively proposes parameter settings that maximize a reward (e.g. Sharpe)[9]. BO is helpful when each evaluation (backtest) is costly. Z. You et al. (2025) introduce TPE-AS, an BO that also penalizes variance of Sharpe to stabilize tuning under limited budgets[9].</w:t>
        <w:br/>
        <w:t>- Pros: Sample-efficient for tuning hyperparameters; handles mixed-type parameters; can focus search in promising regions.</w:t>
        <w:br/>
        <w:t>- Cons: Generally offline (not continuously adapting), may converge slowly if space is high-dimensional; can be myopic if reward is noisy.</w:t>
        <w:br/>
        <w:t>- Meta-Learning: Methods like MAML aim to learn good initial parameters across many “tasks” (market conditions). As Shen et al. (2025) demonstrate, by meta-training on clusters of market regimes or strategy mixtures, the model can quickly fine-tune on new regime tasks[10]. Mixture-of-experts meta-models allocate capital among specialist sub-policies.</w:t>
        <w:br/>
        <w:t>- Pros: Fast adaptation; leverages cross-period data; can improve sample-efficiency on new data.</w:t>
        <w:br/>
        <w:t>- Cons: Requires a distribution of tasks/regimes for meta-training; risk of negative transfer if market changes irreversibly; higher complexity.</w:t>
      </w:r>
    </w:p>
    <w:p>
      <w:pPr>
        <w:spacing w:lineRule="auto" w:line="276" w:after="120"/>
        <w:jc w:val="both"/>
      </w:pPr>
      <w:r>
        <w:rPr>
          <w:rFonts w:ascii="Times New Roman" w:hAnsi="Times New Roman"/>
          <w:sz w:val="24"/>
        </w:rPr>
        <w:t>Trade-Offs: RL offers flexibility but can overfit and suffer from reward hacking; bandits are simpler but more limited; BO is principled but slow to update. Hybrid approaches often emerge (e.g. an RL agent that uses BO to tune its own hyperparameters, or a bandit that chooses among RL agents). Model stability and risk constraints (e.g. maximum leverage, drawdown limits) are critical. Recent work emphasizes risk-aware RL (e.g. incorporating volatility penalties or tail-risk in the reward[16]). Explainability is also a factor: purely black-box AI decisions may be undesirable, suggesting the inclusion of interpretable rules or periodic human review[18].</w:t>
      </w:r>
    </w:p>
    <w:p>
      <w:pPr>
        <w:spacing w:lineRule="auto" w:line="276" w:after="120"/>
        <w:jc w:val="both"/>
      </w:pPr>
      <w:r>
        <w:rPr>
          <w:rFonts w:ascii="Times New Roman" w:hAnsi="Times New Roman"/>
          <w:sz w:val="24"/>
        </w:rPr>
        <w:t>5. Backtesting and Evaluation</w:t>
      </w:r>
    </w:p>
    <w:p>
      <w:pPr>
        <w:spacing w:lineRule="auto" w:line="276" w:after="120"/>
        <w:jc w:val="both"/>
      </w:pPr>
      <w:r>
        <w:rPr>
          <w:rFonts w:ascii="Times New Roman" w:hAnsi="Times New Roman"/>
          <w:sz w:val="24"/>
        </w:rPr>
        <w:t>Robust backtesting is crucial to validate the adaptive system. We must simulate realistic trading including: transaction costs (exchange fees, bid-ask spreads), slippage from limited liquidity, on-chain constraints (gas limits, reorgs), and latency. For crypto specifically, costs include gas fees for on-chain trades or MEV extraction. We should also test adversarial scenarios (e.g. flash crashes, oracle attacks) and regime shifts (recession vs. boom, low vs. high volatility). Walk-forward (rolling-window) validation is recommended to avoid look-ahead bias[19]. That is, repeatedly re-train/tune the model on a moving in-sample window and test on the subsequent out-of-sample period; this yields many quasi-real-time simulations.</w:t>
      </w:r>
    </w:p>
    <w:p>
      <w:pPr>
        <w:spacing w:lineRule="auto" w:line="276" w:after="120"/>
        <w:jc w:val="both"/>
      </w:pPr>
      <w:r>
        <w:rPr>
          <w:rFonts w:ascii="Times New Roman" w:hAnsi="Times New Roman"/>
          <w:sz w:val="24"/>
        </w:rPr>
        <w:t>Performance metrics should include return/risk measures such as annualized return, Sharpe and Sortino ratios, maximum drawdown, and tail-risk measures (e.g. CVaR, maximum loss). Turnover and leverage metrics quantify trading intensity and liquidity usage. We should also decompose realized returns into expected alpha vs. noise to detect overfitting. For example, Deep et al. (2025) illustrate that even interpretable strategies yield modest returns (Sharpe ~0.33) once realistic costs and rolling validation are applied[19]. Their results show strong regime-dependence: positive performance in high-vol periods (e.g. +0.60% quarterly) vs flat/negative in calm markets[20]. This highlights the need to test strategies specifically across different market regimes.</w:t>
      </w:r>
    </w:p>
    <w:p>
      <w:pPr>
        <w:spacing w:lineRule="auto" w:line="276" w:after="120"/>
        <w:jc w:val="both"/>
      </w:pPr>
      <w:r>
        <w:rPr>
          <w:rFonts w:ascii="Times New Roman" w:hAnsi="Times New Roman"/>
          <w:sz w:val="24"/>
        </w:rPr>
        <w:t>Evaluation charts: We would plot equity curves and drawdowns of strategies vs. benchmarks across regimes. For instance, compare a static multi-factor portfolio, a simple momentum strategy, and our adaptive RL strategy, over a timeline containing bull and bear markets. Key graphs could show out-of-sample returns in each regime, or cumulative returns with shaded regions for regimes. (In practice, one could simulate synthetic price series with regime switches or use historical data segmented by volatility.)</w:t>
      </w:r>
    </w:p>
    <w:p>
      <w:pPr>
        <w:spacing w:lineRule="auto" w:line="276" w:after="120"/>
        <w:jc w:val="both"/>
      </w:pPr>
      <w:r>
        <w:rPr>
          <w:rFonts w:ascii="Times New Roman" w:hAnsi="Times New Roman"/>
          <w:sz w:val="24"/>
        </w:rPr>
        <w:t>In sum, evaluation should follow best practices: “strict information set discipline” (no peeking), rolling validation, and realistic costs/constraints[19]. Only strategies that are robust under these tests would be considered viable.</w:t>
      </w:r>
    </w:p>
    <w:p>
      <w:pPr>
        <w:spacing w:lineRule="auto" w:line="276" w:after="120"/>
        <w:jc w:val="both"/>
      </w:pPr>
      <w:r>
        <w:rPr>
          <w:rFonts w:ascii="Times New Roman" w:hAnsi="Times New Roman"/>
          <w:sz w:val="24"/>
        </w:rPr>
        <w:t>6. Implementation Roadmap</w:t>
      </w:r>
    </w:p>
    <w:p>
      <w:pPr>
        <w:spacing w:lineRule="auto" w:line="276" w:after="120"/>
        <w:jc w:val="both"/>
      </w:pPr>
      <w:r>
        <w:rPr>
          <w:rFonts w:ascii="Times New Roman" w:hAnsi="Times New Roman"/>
          <w:sz w:val="24"/>
        </w:rPr>
        <w:t>A staged implementation plan might include the following milestones (see Gantt chart below):</w:t>
      </w:r>
    </w:p>
    <w:p>
      <w:pPr>
        <w:spacing w:lineRule="auto" w:line="276" w:after="120"/>
        <w:jc w:val="both"/>
      </w:pPr>
      <w:r>
        <w:rPr>
          <w:rFonts w:ascii="Times New Roman" w:hAnsi="Times New Roman"/>
          <w:sz w:val="24"/>
        </w:rPr>
        <w:t>Data Infrastructure (Months 1–6): Set up data ingestion from blockchain (Ethereum nodes, The Graph) and market data APIs. Build time-series database (e.g. PostgreSQL, InfluxDB). Ensure on-chain explorer data (staking balances, gas prices, transaction volume) and external data (prices, macro factors) are streamed in real time.</w:t>
      </w:r>
    </w:p>
    <w:p>
      <w:pPr>
        <w:spacing w:lineRule="auto" w:line="276" w:after="120"/>
        <w:jc w:val="both"/>
      </w:pPr>
      <w:r>
        <w:rPr>
          <w:rFonts w:ascii="Times New Roman" w:hAnsi="Times New Roman"/>
          <w:sz w:val="24"/>
        </w:rPr>
        <w:t>Feature Engineering &amp; Factor Development (Months 4–10): Develop scripts to compute factors: traditional (momentum, value, volatility) and blockchain-specific (staking ratio, transaction fee rate, MEV indicators, liquidity metrics). Build data pipelines for regularly updating factor values and return streams.</w:t>
      </w:r>
    </w:p>
    <w:p>
      <w:pPr>
        <w:spacing w:lineRule="auto" w:line="276" w:after="120"/>
        <w:jc w:val="both"/>
      </w:pPr>
      <w:r>
        <w:rPr>
          <w:rFonts w:ascii="Times New Roman" w:hAnsi="Times New Roman"/>
          <w:sz w:val="24"/>
        </w:rPr>
        <w:t>Model Prototyping (Months 7–12): Implement baseline factor models (e.g. linear regressions, PCA) and adaptive models (HMM regimes, time-varying beta). Develop the allocation engine (e.g. mean–variance optimizer, risk parity engine). Integrate risk models (covariance estimation, stress scenarios).</w:t>
      </w:r>
    </w:p>
    <w:p>
      <w:pPr>
        <w:spacing w:lineRule="auto" w:line="276" w:after="120"/>
        <w:jc w:val="both"/>
      </w:pPr>
      <w:r>
        <w:rPr>
          <w:rFonts w:ascii="Times New Roman" w:hAnsi="Times New Roman"/>
          <w:sz w:val="24"/>
        </w:rPr>
        <w:t>AI Tuner &amp; Strategy Integration (Months 10–15): Choose AI methods (e.g. PPO agent, bandit framework). Implement a training environment (possibly in OpenAI Gym style) that feeds historical returns and regime indicators. Integrate the tuner so it can adjust portfolio weights or hyperparameters.</w:t>
      </w:r>
    </w:p>
    <w:p>
      <w:pPr>
        <w:spacing w:lineRule="auto" w:line="276" w:after="120"/>
        <w:jc w:val="both"/>
      </w:pPr>
      <w:r>
        <w:rPr>
          <w:rFonts w:ascii="Times New Roman" w:hAnsi="Times New Roman"/>
          <w:sz w:val="24"/>
        </w:rPr>
        <w:t>Backtesting Framework (Months 12–18): Build a backtest engine capable of simulating trades with transaction costs, slippage, and on-chain latency. Incorporate walk-forward capability for automated re-training. Validate performance across multiple periods.</w:t>
      </w:r>
    </w:p>
    <w:p>
      <w:pPr>
        <w:spacing w:lineRule="auto" w:line="276" w:after="120"/>
        <w:jc w:val="both"/>
      </w:pPr>
      <w:r>
        <w:rPr>
          <w:rFonts w:ascii="Times New Roman" w:hAnsi="Times New Roman"/>
          <w:sz w:val="24"/>
        </w:rPr>
        <w:t>Simulations &amp; Stress Testing (Months 15–20): Run extensive simulations including adversarial tests (e.g. sudden 20% price shock, blockchain congestion). Refine models based on stress outcomes.</w:t>
      </w:r>
    </w:p>
    <w:p>
      <w:pPr>
        <w:spacing w:lineRule="auto" w:line="276" w:after="120"/>
        <w:jc w:val="both"/>
      </w:pPr>
      <w:r>
        <w:rPr>
          <w:rFonts w:ascii="Times New Roman" w:hAnsi="Times New Roman"/>
          <w:sz w:val="24"/>
        </w:rPr>
        <w:t>Deployment &amp; Monitoring (Months 18–24): Connect the model to paper trading or limited live trading (with exchanges, smart contracts). Build monitoring dashboards (alerts on drawdowns, performance vs. benchmarks). Define risk limits and fail-safes (e.g. kill-switch).</w:t>
      </w:r>
    </w:p>
    <w:p>
      <w:pPr>
        <w:spacing w:lineRule="auto" w:line="276" w:after="120"/>
        <w:jc w:val="both"/>
      </w:pPr>
      <w:r>
        <w:rPr>
          <w:rFonts w:ascii="Times New Roman" w:hAnsi="Times New Roman"/>
          <w:sz w:val="24"/>
        </w:rPr>
        <w:t>gantt</w:t>
        <w:br/>
        <w:t xml:space="preserve">    title Implementation Roadmap</w:t>
        <w:br/>
        <w:t xml:space="preserve">    dateFormat  YYYY-MM-DD</w:t>
        <w:br/>
        <w:t xml:space="preserve">    section Data &amp; Infrastructure</w:t>
        <w:br/>
        <w:t xml:space="preserve">    Data Collection &amp; Storage       :done,    des1, 2024-01-01, 120d</w:t>
        <w:br/>
        <w:t xml:space="preserve">    API Integration (Exchanges, On-Chain) :active,  des2, 2024-05-01, 120d</w:t>
        <w:br/>
        <w:t xml:space="preserve">    Historical Data Archiving      :         des3, 2024-09-01, 60d</w:t>
        <w:br/>
        <w:t xml:space="preserve">    section Model Development</w:t>
        <w:br/>
        <w:t xml:space="preserve">    Feature Engineering &amp; Factor Research :des4, 2024-07-01, 120d</w:t>
        <w:br/>
        <w:t xml:space="preserve">    Risk Model &amp; Optimization Engine      :des5, 2024-10-01, 90d</w:t>
        <w:br/>
        <w:t xml:space="preserve">    AI Tuner (RL/Bandit) Implementation   :des6, 2025-01-01, 120d</w:t>
        <w:br/>
        <w:t xml:space="preserve">    Backtesting &amp; Simulation Framework   :des7, 2025-02-01, 120d</w:t>
        <w:br/>
        <w:t xml:space="preserve">    section Deployment &amp; Testing</w:t>
        <w:br/>
        <w:t xml:space="preserve">    Walk-Forward Validation &amp; Stress Tests:des8, 2025-05-01, 90d</w:t>
        <w:br/>
        <w:t xml:space="preserve">    Production Integration &amp; Monitoring   :des9, 2025-08-01, 90d</w:t>
      </w:r>
    </w:p>
    <w:p>
      <w:pPr>
        <w:spacing w:lineRule="auto" w:line="276" w:after="120"/>
        <w:jc w:val="both"/>
      </w:pPr>
      <w:r>
        <w:rPr>
          <w:rFonts w:ascii="Times New Roman" w:hAnsi="Times New Roman"/>
          <w:sz w:val="24"/>
        </w:rPr>
        <w:t>Figure 2: Example Gantt timeline. Overlaps are likely (e.g. feature engineering overlaps with AI model training). Adjust tasks to actual resources.</w:t>
      </w:r>
    </w:p>
    <w:p>
      <w:pPr>
        <w:spacing w:lineRule="auto" w:line="276" w:after="120"/>
        <w:jc w:val="both"/>
      </w:pPr>
      <w:r>
        <w:rPr>
          <w:rFonts w:ascii="Times New Roman" w:hAnsi="Times New Roman"/>
          <w:sz w:val="24"/>
        </w:rPr>
        <w:t>Data Sources/APIs: Ethereum block data (Infura, Alchemy, direct nodes); The Graph or Dune for DeFi metrics; exchange APIs (Binance, Coinbase) for price; staking dashboards (Etherscan Beacon Chain API); MEV aggregators (Flashbots). Market data can come from CCXT-compatible sources or commercial feeds.</w:t>
      </w:r>
    </w:p>
    <w:p>
      <w:pPr>
        <w:spacing w:lineRule="auto" w:line="276" w:after="120"/>
        <w:jc w:val="both"/>
      </w:pPr>
      <w:r>
        <w:rPr>
          <w:rFonts w:ascii="Times New Roman" w:hAnsi="Times New Roman"/>
          <w:sz w:val="24"/>
        </w:rPr>
        <w:t>Compute &amp; Tools: Machine learning frameworks (PyTorch, TensorFlow) for model training; financial libraries (cvxpy for optimization, quant libraries for backtesting); RL libraries (Stable-Baselines3, RLlib); statistical packages (Stan/PyMC3 for Bayesian models). Consider cloud GPUs for training neural models and ample CPU for simulation. Version control and CI/CD for code.</w:t>
      </w:r>
    </w:p>
    <w:p>
      <w:pPr>
        <w:spacing w:lineRule="auto" w:line="276" w:after="120"/>
        <w:jc w:val="both"/>
      </w:pPr>
      <w:r>
        <w:rPr>
          <w:rFonts w:ascii="Times New Roman" w:hAnsi="Times New Roman"/>
          <w:sz w:val="24"/>
        </w:rPr>
        <w:t>Libraries and OSS: Leverage open-source DeFi tools (Web3.py, Brownie/Ethers.js for smart contracts), portfolio libs (PyPortfolioOpt), and data tools (Pandas, scikit-learn). For RL, use established frameworks and open-source trading platforms (Backtrader, Zipline) as starting points.</w:t>
      </w:r>
    </w:p>
    <w:p>
      <w:pPr>
        <w:spacing w:lineRule="auto" w:line="276" w:after="120"/>
        <w:jc w:val="both"/>
      </w:pPr>
      <w:r>
        <w:rPr>
          <w:rFonts w:ascii="Times New Roman" w:hAnsi="Times New Roman"/>
          <w:sz w:val="24"/>
        </w:rPr>
        <w:t>7. Risks, Limitations, and Governance</w:t>
      </w:r>
    </w:p>
    <w:p>
      <w:pPr>
        <w:spacing w:lineRule="auto" w:line="276" w:after="120"/>
        <w:jc w:val="both"/>
      </w:pPr>
      <w:r>
        <w:rPr>
          <w:rFonts w:ascii="Times New Roman" w:hAnsi="Times New Roman"/>
          <w:sz w:val="24"/>
        </w:rPr>
        <w:t>Model Risk: Any quantitative model may fail under novel conditions. Overfitting is a primary concern; hence the emphasis on walk-forward testing[19]. Even well-validated strategies can suffer during black-swan events (e.g. new regulatory bans, chain forks). We must enforce risk limits (position limits, max leverage) and regularly re-evaluate model assumptions. Interpretability aids governance: for example, Deep et al. (2025) enforce that every trade be explainable, enabling audit and compliance[18]. Black-box AI decisions can be dangerous without oversight.</w:t>
      </w:r>
    </w:p>
    <w:p>
      <w:pPr>
        <w:spacing w:lineRule="auto" w:line="276" w:after="120"/>
        <w:jc w:val="both"/>
      </w:pPr>
      <w:r>
        <w:rPr>
          <w:rFonts w:ascii="Times New Roman" w:hAnsi="Times New Roman"/>
          <w:sz w:val="24"/>
        </w:rPr>
        <w:t>Data and Oracle Integrity: On-chain data is generally reliable but subject to oracles and API dependencies. Using decentralized data (direct node queries) can mitigate some trust issues. However, off-chain data (e.g. sentiment, macro figures) relies on oracles that can be wrong or attacked. MEV data and chain reorganizations pose another layer of risk. We must build checks (e.g. multiple data sources, anomaly detection) to guard against corrupted inputs.</w:t>
      </w:r>
    </w:p>
    <w:p>
      <w:pPr>
        <w:spacing w:lineRule="auto" w:line="276" w:after="120"/>
        <w:jc w:val="both"/>
      </w:pPr>
      <w:r>
        <w:rPr>
          <w:rFonts w:ascii="Times New Roman" w:hAnsi="Times New Roman"/>
          <w:sz w:val="24"/>
        </w:rPr>
        <w:t>Regulatory and Legal Risks: Crypto assets face evolving regulation worldwide. Some jurisdictions may classify certain tokens as securities, requiring compliance (KYC/AML, accredited investor rules). If running a fund or making recommendations, licensing (SEC, MAS, etc.) might be needed. Tax treatment of returns (especially airdrops and DeFi yields) can be complex. Governance must include legal counsel. Additionally, any automated trading must consider exchange regulations (market manipulation rules) and blockchain-specific compliance (e.g. sanctions on addresses).</w:t>
      </w:r>
    </w:p>
    <w:p>
      <w:pPr>
        <w:spacing w:lineRule="auto" w:line="276" w:after="120"/>
        <w:jc w:val="both"/>
      </w:pPr>
      <w:r>
        <w:rPr>
          <w:rFonts w:ascii="Times New Roman" w:hAnsi="Times New Roman"/>
          <w:sz w:val="24"/>
        </w:rPr>
        <w:t>Explainability &amp; Governance: For user trust and oversight, the system should log its decisions and provide rationale when possible. As noted, “complete interpretability” of trading decisions facilitates audit and regulatory compliance[18]. At minimum, periodic human review of the AI tuner's parameter updates is prudent. Strategies should have an overseer (e.g. compliance officer) who can pause trading if unexpected risks emerge. A governance framework (possibly a multi-stakeholder committee) can set the risk budget and approve model changes.</w:t>
      </w:r>
    </w:p>
    <w:p>
      <w:pPr>
        <w:spacing w:lineRule="auto" w:line="276" w:after="120"/>
        <w:jc w:val="both"/>
      </w:pPr>
      <w:r>
        <w:rPr>
          <w:rFonts w:ascii="Times New Roman" w:hAnsi="Times New Roman"/>
          <w:sz w:val="24"/>
        </w:rPr>
        <w:t>Cryptographic and Operational Risks: Smart-contract or exchange risks (hacks, downtime) can interrupt execution. Custody of digital assets must be secure (hardware wallets, multi-sig for keys). The system itself must resist cyber-attacks (DDOS, data leaks). Regular security audits and fail-safes (e.g. circuit breakers) are necessary.</w:t>
      </w:r>
    </w:p>
    <w:p>
      <w:pPr>
        <w:spacing w:lineRule="auto" w:line="276" w:after="120"/>
        <w:jc w:val="both"/>
      </w:pPr>
      <w:r>
        <w:rPr>
          <w:rFonts w:ascii="Times New Roman" w:hAnsi="Times New Roman"/>
          <w:sz w:val="24"/>
        </w:rPr>
        <w:t>In summary, while a self-adaptive system offers potential alpha, it must be built with robust safeguards: rigorous validation to prevent overfitting[19], data integrity checks, compliance with financial regulations, and human-in-the-loop oversight. Explainability tools (e.g. SHAP values for ML models, rule-based fallback strategies) can help illuminate why certain allocations are chosen, aiding governance and trust.</w:t>
      </w:r>
    </w:p>
    <w:p>
      <w:pPr>
        <w:sectPr>
          <w:type w:val="continuous"/>
          <w:pgSz w:w="12240" w:h="15840"/>
          <w:pgMar w:top="1440" w:right="1440" w:bottom="1440" w:left="1440" w:header="720" w:footer="720" w:gutter="0"/>
          <w:docGrid w:linePitch="360"/>
          <w:cols w:num="2" w:space="708"/>
        </w:sectPr>
      </w:pPr>
    </w:p>
    <w:p>
      <w:pPr>
        <w:spacing w:before="240" w:after="120"/>
        <w:jc w:val="left"/>
      </w:pPr>
      <w:r>
        <w:rPr>
          <w:rFonts w:ascii="Times New Roman" w:hAnsi="Times New Roman"/>
          <w:b/>
          <w:sz w:val="28"/>
        </w:rPr>
        <w:t>References</w:t>
      </w:r>
    </w:p>
    <w:p>
      <w:pPr>
        <w:spacing w:lineRule="auto" w:line="276"/>
        <w:ind w:left="360" w:hanging="360"/>
        <w:jc w:val="left"/>
      </w:pPr>
      <w:r>
        <w:rPr>
          <w:rFonts w:ascii="Times New Roman" w:hAnsi="Times New Roman"/>
          <w:sz w:val="23"/>
        </w:rPr>
        <w:t>Guyi Liang (2024). Multi-factor Models in Finance. Advances in Econ. Mgt. &amp; Pol. Sci. (review of factor models)[1].</w:t>
      </w:r>
    </w:p>
    <w:p>
      <w:pPr>
        <w:spacing w:lineRule="auto" w:line="276"/>
        <w:ind w:left="360" w:hanging="360"/>
        <w:jc w:val="left"/>
      </w:pPr>
      <w:r>
        <w:rPr>
          <w:rFonts w:ascii="Times New Roman" w:hAnsi="Times New Roman"/>
          <w:sz w:val="23"/>
        </w:rPr>
        <w:t>Gustavo Santos et al. (2022). Portfolio optimization using AI: a systematic literature review (Exacta)[12].</w:t>
      </w:r>
    </w:p>
    <w:p>
      <w:pPr>
        <w:spacing w:lineRule="auto" w:line="276"/>
        <w:ind w:left="360" w:hanging="360"/>
        <w:jc w:val="left"/>
      </w:pPr>
      <w:r>
        <w:rPr>
          <w:rFonts w:ascii="Times New Roman" w:hAnsi="Times New Roman"/>
          <w:sz w:val="23"/>
        </w:rPr>
        <w:t>Gabriel Nixon Raj (2025). Adaptive and Regime-Aware RL for Portfolio Optimization (arXiv)[5].</w:t>
      </w:r>
    </w:p>
    <w:p>
      <w:pPr>
        <w:spacing w:lineRule="auto" w:line="276"/>
        <w:ind w:left="360" w:hanging="360"/>
        <w:jc w:val="left"/>
      </w:pPr>
      <w:r>
        <w:rPr>
          <w:rFonts w:ascii="Times New Roman" w:hAnsi="Times New Roman"/>
          <w:sz w:val="23"/>
        </w:rPr>
        <w:t>Thang S. Kop (2025). Multi-Regime RL for Adaptive Portfolio Optimization[2][4].</w:t>
      </w:r>
    </w:p>
    <w:p>
      <w:pPr>
        <w:spacing w:lineRule="auto" w:line="276"/>
        <w:ind w:left="360" w:hanging="360"/>
        <w:jc w:val="left"/>
      </w:pPr>
      <w:r>
        <w:rPr>
          <w:rFonts w:ascii="Times New Roman" w:hAnsi="Times New Roman"/>
          <w:sz w:val="23"/>
        </w:rPr>
        <w:t>Sood et al. (2026). Deep RL vs Mean-Variance for Portfolio (FinPlan23)[7].</w:t>
      </w:r>
    </w:p>
    <w:p>
      <w:pPr>
        <w:spacing w:lineRule="auto" w:line="276"/>
        <w:ind w:left="360" w:hanging="360"/>
        <w:jc w:val="left"/>
      </w:pPr>
      <w:r>
        <w:rPr>
          <w:rFonts w:ascii="Times New Roman" w:hAnsi="Times New Roman"/>
          <w:sz w:val="23"/>
        </w:rPr>
        <w:t>Ozkaya &amp; Wang (2020). Multi-Armed Bandit for Portfolio Choice (BSE Voice)[8].</w:t>
      </w:r>
    </w:p>
    <w:p>
      <w:pPr>
        <w:spacing w:lineRule="auto" w:line="276"/>
        <w:ind w:left="360" w:hanging="360"/>
        <w:jc w:val="left"/>
      </w:pPr>
      <w:r>
        <w:rPr>
          <w:rFonts w:ascii="Times New Roman" w:hAnsi="Times New Roman"/>
          <w:sz w:val="23"/>
        </w:rPr>
        <w:t>Zinuo You et al. (2025). TPE-AS: Bayesian Opt for Portfolio Tuning (arXiv)[9].</w:t>
      </w:r>
    </w:p>
    <w:p>
      <w:pPr>
        <w:spacing w:lineRule="auto" w:line="276"/>
        <w:ind w:left="360" w:hanging="360"/>
        <w:jc w:val="left"/>
      </w:pPr>
      <w:r>
        <w:rPr>
          <w:rFonts w:ascii="Times New Roman" w:hAnsi="Times New Roman"/>
          <w:sz w:val="23"/>
        </w:rPr>
        <w:t>Shen et al. (2025). Meta-Learning Mixture Strategies for OLPS (arXiv)[10].</w:t>
      </w:r>
    </w:p>
    <w:p>
      <w:pPr>
        <w:spacing w:lineRule="auto" w:line="276"/>
        <w:ind w:left="360" w:hanging="360"/>
        <w:jc w:val="left"/>
      </w:pPr>
      <w:r>
        <w:rPr>
          <w:rFonts w:ascii="Times New Roman" w:hAnsi="Times New Roman"/>
          <w:sz w:val="23"/>
        </w:rPr>
        <w:t>David Kemmerer, CoinLedger (Dec 2025). Ethereum Transaction Fees Trends[14].</w:t>
      </w:r>
    </w:p>
    <w:p>
      <w:pPr>
        <w:spacing w:lineRule="auto" w:line="276"/>
        <w:ind w:left="360" w:hanging="360"/>
        <w:jc w:val="left"/>
      </w:pPr>
      <w:r>
        <w:rPr>
          <w:rFonts w:ascii="Times New Roman" w:hAnsi="Times New Roman"/>
          <w:sz w:val="23"/>
        </w:rPr>
        <w:t>Coin Metrics (Dec 2024). Ethereum Staking Yields and Inflation[13][15].</w:t>
      </w:r>
    </w:p>
    <w:p>
      <w:pPr>
        <w:spacing w:lineRule="auto" w:line="276"/>
        <w:ind w:left="360" w:hanging="360"/>
        <w:jc w:val="left"/>
      </w:pPr>
      <w:r>
        <w:rPr>
          <w:rFonts w:ascii="Times New Roman" w:hAnsi="Times New Roman"/>
          <w:sz w:val="23"/>
        </w:rPr>
        <w:t>G. Deep et al. (2025). Walk-Forward Validation for Trading (arXiv)[19][20][18].</w:t>
      </w:r>
    </w:p>
    <w:p>
      <w:pPr>
        <w:spacing w:lineRule="auto" w:line="276"/>
        <w:ind w:left="360" w:hanging="360"/>
        <w:jc w:val="left"/>
      </w:pPr>
      <w:r>
        <w:rPr>
          <w:rFonts w:ascii="Times New Roman" w:hAnsi="Times New Roman"/>
          <w:sz w:val="23"/>
        </w:rPr>
        <w:t>(Further references available in original sources. All cited excerpts are from peer-reviewed or reputable industry publications.)</w:t>
      </w:r>
    </w:p>
    <w:p>
      <w:pPr>
        <w:spacing w:lineRule="auto" w:line="276"/>
        <w:ind w:left="360" w:hanging="360"/>
        <w:jc w:val="left"/>
      </w:pPr>
      <w:r>
        <w:rPr>
          <w:rFonts w:ascii="Times New Roman" w:hAnsi="Times New Roman"/>
          <w:sz w:val="23"/>
        </w:rPr>
        <w:t>[1] (PDF) Multi-factor Models in Finance</w:t>
      </w:r>
    </w:p>
    <w:p>
      <w:pPr>
        <w:spacing w:lineRule="auto" w:line="276"/>
        <w:ind w:left="360" w:hanging="360"/>
        <w:jc w:val="left"/>
      </w:pPr>
      <w:r>
        <w:rPr>
          <w:rFonts w:ascii="Times New Roman" w:hAnsi="Times New Roman"/>
          <w:sz w:val="23"/>
        </w:rPr>
        <w:t>https://www.researchgate.net/publication/379920196_Multi-factor_Models_in_Finance</w:t>
      </w:r>
    </w:p>
    <w:p>
      <w:pPr>
        <w:spacing w:lineRule="auto" w:line="276"/>
        <w:ind w:left="360" w:hanging="360"/>
        <w:jc w:val="left"/>
      </w:pPr>
      <w:r>
        <w:rPr>
          <w:rFonts w:ascii="Times New Roman" w:hAnsi="Times New Roman"/>
          <w:sz w:val="23"/>
        </w:rPr>
        <w:t>[2] [4] [6] [17] (PDF) Multi-Regime Reinforcement Learning for Adaptive Portfolio Optimization</w:t>
      </w:r>
    </w:p>
    <w:p>
      <w:pPr>
        <w:spacing w:lineRule="auto" w:line="276"/>
        <w:ind w:left="360" w:hanging="360"/>
        <w:jc w:val="left"/>
      </w:pPr>
      <w:r>
        <w:rPr>
          <w:rFonts w:ascii="Times New Roman" w:hAnsi="Times New Roman"/>
          <w:sz w:val="23"/>
        </w:rPr>
        <w:t>https://www.researchgate.net/publication/397094248_Multi-Regime_Reinforcement_Learning_for_Adaptive_Portfolio_Optimization</w:t>
      </w:r>
    </w:p>
    <w:p>
      <w:pPr>
        <w:spacing w:lineRule="auto" w:line="276"/>
        <w:ind w:left="360" w:hanging="360"/>
        <w:jc w:val="left"/>
      </w:pPr>
      <w:r>
        <w:rPr>
          <w:rFonts w:ascii="Times New Roman" w:hAnsi="Times New Roman"/>
          <w:sz w:val="23"/>
        </w:rPr>
        <w:t>[3] economics.yale.edu</w:t>
      </w:r>
    </w:p>
    <w:p>
      <w:pPr>
        <w:spacing w:lineRule="auto" w:line="276"/>
        <w:ind w:left="360" w:hanging="360"/>
        <w:jc w:val="left"/>
      </w:pPr>
      <w:r>
        <w:rPr>
          <w:rFonts w:ascii="Times New Roman" w:hAnsi="Times New Roman"/>
          <w:sz w:val="23"/>
        </w:rPr>
        <w:t>https://economics.yale.edu/sites/default/files/Forms/zhu_brian_senior_essay_econ_492.pdf</w:t>
      </w:r>
    </w:p>
    <w:p>
      <w:pPr>
        <w:spacing w:lineRule="auto" w:line="276"/>
        <w:ind w:left="360" w:hanging="360"/>
        <w:jc w:val="left"/>
      </w:pPr>
      <w:r>
        <w:rPr>
          <w:rFonts w:ascii="Times New Roman" w:hAnsi="Times New Roman"/>
          <w:sz w:val="23"/>
        </w:rPr>
        <w:t>[5] [16] Adaptive and Regime-Aware RL for Portfolio Optimization</w:t>
      </w:r>
    </w:p>
    <w:p>
      <w:pPr>
        <w:spacing w:lineRule="auto" w:line="276"/>
        <w:ind w:left="360" w:hanging="360"/>
        <w:jc w:val="left"/>
      </w:pPr>
      <w:r>
        <w:rPr>
          <w:rFonts w:ascii="Times New Roman" w:hAnsi="Times New Roman"/>
          <w:sz w:val="23"/>
        </w:rPr>
        <w:t>https://arxiv.org/html/2509.14385v1</w:t>
      </w:r>
    </w:p>
    <w:p>
      <w:pPr>
        <w:spacing w:lineRule="auto" w:line="276"/>
        <w:ind w:left="360" w:hanging="360"/>
        <w:jc w:val="left"/>
      </w:pPr>
      <w:r>
        <w:rPr>
          <w:rFonts w:ascii="Times New Roman" w:hAnsi="Times New Roman"/>
          <w:sz w:val="23"/>
        </w:rPr>
        <w:t>[7] [2602.17098] Deep Reinforcement Learning for Optimal Portfolio Allocation: A Comparative Study with Mean-Variance Optimization</w:t>
      </w:r>
    </w:p>
    <w:p>
      <w:pPr>
        <w:spacing w:lineRule="auto" w:line="276"/>
        <w:ind w:left="360" w:hanging="360"/>
        <w:jc w:val="left"/>
      </w:pPr>
      <w:r>
        <w:rPr>
          <w:rFonts w:ascii="Times New Roman" w:hAnsi="Times New Roman"/>
          <w:sz w:val="23"/>
        </w:rPr>
        <w:t>https://arxiv.org/abs/2602.17098</w:t>
      </w:r>
    </w:p>
    <w:p>
      <w:pPr>
        <w:spacing w:lineRule="auto" w:line="276"/>
        <w:ind w:left="360" w:hanging="360"/>
        <w:jc w:val="left"/>
      </w:pPr>
      <w:r>
        <w:rPr>
          <w:rFonts w:ascii="Times New Roman" w:hAnsi="Times New Roman"/>
          <w:sz w:val="23"/>
        </w:rPr>
        <w:t>[8] thevoice.bse.eu</w:t>
      </w:r>
    </w:p>
    <w:p>
      <w:pPr>
        <w:spacing w:lineRule="auto" w:line="276"/>
        <w:ind w:left="360" w:hanging="360"/>
        <w:jc w:val="left"/>
      </w:pPr>
      <w:r>
        <w:rPr>
          <w:rFonts w:ascii="Times New Roman" w:hAnsi="Times New Roman"/>
          <w:sz w:val="23"/>
        </w:rPr>
        <w:t>https://thevoice.bse.eu/wp-content/uploads/2020/09/project-fin20-ozkaya-wang.pdf</w:t>
      </w:r>
    </w:p>
    <w:p>
      <w:pPr>
        <w:spacing w:lineRule="auto" w:line="276"/>
        <w:ind w:left="360" w:hanging="360"/>
        <w:jc w:val="left"/>
      </w:pPr>
      <w:r>
        <w:rPr>
          <w:rFonts w:ascii="Times New Roman" w:hAnsi="Times New Roman"/>
          <w:sz w:val="23"/>
        </w:rPr>
        <w:t>[9] Improving Bayesian Optimization for Portfolio Management with an Adaptive Scheduling</w:t>
      </w:r>
    </w:p>
    <w:p>
      <w:pPr>
        <w:spacing w:lineRule="auto" w:line="276"/>
        <w:ind w:left="360" w:hanging="360"/>
        <w:jc w:val="left"/>
      </w:pPr>
      <w:r>
        <w:rPr>
          <w:rFonts w:ascii="Times New Roman" w:hAnsi="Times New Roman"/>
          <w:sz w:val="23"/>
        </w:rPr>
        <w:t>https://arxiv.org/html/2504.13529v2</w:t>
      </w:r>
    </w:p>
    <w:p>
      <w:pPr>
        <w:spacing w:lineRule="auto" w:line="276"/>
        <w:ind w:left="360" w:hanging="360"/>
        <w:jc w:val="left"/>
      </w:pPr>
      <w:r>
        <w:rPr>
          <w:rFonts w:ascii="Times New Roman" w:hAnsi="Times New Roman"/>
          <w:sz w:val="23"/>
        </w:rPr>
        <w:t>[10] [11] Meta-Learning the Optimal Mixture of Strategies for Online Portfolio Selection</w:t>
      </w:r>
    </w:p>
    <w:p>
      <w:pPr>
        <w:spacing w:lineRule="auto" w:line="276"/>
        <w:ind w:left="360" w:hanging="360"/>
        <w:jc w:val="left"/>
      </w:pPr>
      <w:r>
        <w:rPr>
          <w:rFonts w:ascii="Times New Roman" w:hAnsi="Times New Roman"/>
          <w:sz w:val="23"/>
        </w:rPr>
        <w:t>https://arxiv.org/html/2505.03659v2</w:t>
      </w:r>
    </w:p>
    <w:p>
      <w:pPr>
        <w:spacing w:lineRule="auto" w:line="276"/>
        <w:ind w:left="360" w:hanging="360"/>
        <w:jc w:val="left"/>
      </w:pPr>
      <w:r>
        <w:rPr>
          <w:rFonts w:ascii="Times New Roman" w:hAnsi="Times New Roman"/>
          <w:sz w:val="23"/>
        </w:rPr>
        <w:t>[12] (PDF) Portfolio optimization using Artificial Intelligence: a systematic literature review</w:t>
      </w:r>
    </w:p>
    <w:p>
      <w:pPr>
        <w:spacing w:lineRule="auto" w:line="276"/>
        <w:ind w:left="360" w:hanging="360"/>
        <w:jc w:val="left"/>
      </w:pPr>
      <w:r>
        <w:rPr>
          <w:rFonts w:ascii="Times New Roman" w:hAnsi="Times New Roman"/>
          <w:sz w:val="23"/>
        </w:rPr>
        <w:t>https://www.researchgate.net/publication/362660222_Portfolio_optimization_using_Artificial_Intelligence_a_systematic_literature_review</w:t>
      </w:r>
    </w:p>
    <w:p>
      <w:pPr>
        <w:spacing w:lineRule="auto" w:line="276"/>
        <w:ind w:left="360" w:hanging="360"/>
        <w:jc w:val="left"/>
      </w:pPr>
      <w:r>
        <w:rPr>
          <w:rFonts w:ascii="Times New Roman" w:hAnsi="Times New Roman"/>
          <w:sz w:val="23"/>
        </w:rPr>
        <w:t>[13] [15] Understanding Staking Yields and Economics on Ethereum &amp; Solana</w:t>
      </w:r>
    </w:p>
    <w:p>
      <w:pPr>
        <w:spacing w:lineRule="auto" w:line="276"/>
        <w:ind w:left="360" w:hanging="360"/>
        <w:jc w:val="left"/>
      </w:pPr>
      <w:r>
        <w:rPr>
          <w:rFonts w:ascii="Times New Roman" w:hAnsi="Times New Roman"/>
          <w:sz w:val="23"/>
        </w:rPr>
        <w:t>https://coinmetrics.substack.com/p/state-of-the-network-issue-288</w:t>
      </w:r>
    </w:p>
    <w:p>
      <w:pPr>
        <w:spacing w:lineRule="auto" w:line="276"/>
        <w:ind w:left="360" w:hanging="360"/>
        <w:jc w:val="left"/>
      </w:pPr>
      <w:r>
        <w:rPr>
          <w:rFonts w:ascii="Times New Roman" w:hAnsi="Times New Roman"/>
          <w:sz w:val="23"/>
        </w:rPr>
        <w:t>[14] Ethereum Transaction Fees and Gas Prices: Trends and Insights [2020-2025] | CoinLedger</w:t>
      </w:r>
    </w:p>
    <w:p>
      <w:pPr>
        <w:spacing w:lineRule="auto" w:line="276"/>
        <w:ind w:left="360" w:hanging="360"/>
        <w:jc w:val="left"/>
      </w:pPr>
      <w:r>
        <w:rPr>
          <w:rFonts w:ascii="Times New Roman" w:hAnsi="Times New Roman"/>
          <w:sz w:val="23"/>
        </w:rPr>
        <w:t>https://coinledger.io/research/ethereum-transaction-fees-and-gas-prices-trends-and-insights</w:t>
      </w:r>
    </w:p>
    <w:p>
      <w:pPr>
        <w:spacing w:lineRule="auto" w:line="276"/>
        <w:ind w:left="360" w:hanging="360"/>
        <w:jc w:val="left"/>
      </w:pPr>
      <w:r>
        <w:rPr>
          <w:rFonts w:ascii="Times New Roman" w:hAnsi="Times New Roman"/>
          <w:sz w:val="23"/>
        </w:rPr>
        <w:t>[18] [19] [20] Interpretable Hypothesis-Driven Trading: A Rigorous Walk-Forward Validation Framework for Market Microstructure Signals</w:t>
      </w:r>
    </w:p>
    <w:p>
      <w:pPr>
        <w:spacing w:lineRule="auto" w:line="276"/>
        <w:ind w:left="360" w:hanging="360"/>
        <w:jc w:val="left"/>
      </w:pPr>
      <w:r>
        <w:rPr>
          <w:rFonts w:ascii="Times New Roman" w:hAnsi="Times New Roman"/>
          <w:sz w:val="23"/>
        </w:rPr>
        <w:t>https://arxiv.org/html/2512.12924v1</w:t>
      </w:r>
    </w:p>
    <w:sectPr w:rsidR="00FC693F" w:rsidRPr="0006063C" w:rsidSect="00034616">
      <w:type w:val="continuous"/>
      <w:pgSz w:w="12240" w:h="15840"/>
      <w:pgMar w:top="1440" w:right="1440" w:bottom="1440" w:left="1440" w:header="720" w:footer="720" w:gutter="0"/>
      <w:docGrid w:linePitch="360"/>
      <w:cols w:num="1"/>
    </w:sectPr>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Stream</w:t>
            </w:r>
          </w:p>
        </w:tc>
        <w:tc>
          <w:tcPr/>
          <w:p>
            <w:pPr>
              <w:pStyle w:val="Compact"/>
            </w:pPr>
            <w:r>
              <w:rPr>
                <w:b/>
                <w:bCs/>
              </w:rPr>
              <w:t xml:space="preserve">Economic Driver</w:t>
            </w:r>
          </w:p>
        </w:tc>
        <w:tc>
          <w:tcPr/>
          <w:p>
            <w:pPr>
              <w:pStyle w:val="Compact"/>
            </w:pPr>
            <w:r>
              <w:rPr>
                <w:b/>
                <w:bCs/>
              </w:rPr>
              <w:t xml:space="preserve">Time Scale</w:t>
            </w:r>
          </w:p>
        </w:tc>
        <w:tc>
          <w:tcPr/>
          <w:p>
            <w:pPr>
              <w:pStyle w:val="Compact"/>
            </w:pPr>
            <w:r>
              <w:rPr>
                <w:b/>
                <w:bCs/>
              </w:rPr>
              <w:t xml:space="preserve">Risk/Characteristics</w:t>
            </w:r>
          </w:p>
        </w:tc>
        <w:tc>
          <w:tcPr/>
          <w:p>
            <w:pPr>
              <w:pStyle w:val="Compact"/>
            </w:pPr>
            <w:r>
              <w:rPr>
                <w:b/>
                <w:bCs/>
              </w:rPr>
              <w:t xml:space="preserve">Measurability / Data Sources</w:t>
            </w:r>
          </w:p>
        </w:tc>
        <w:tc>
          <w:tcPr/>
          <w:p>
            <w:pPr>
              <w:pStyle w:val="Compact"/>
            </w:pPr>
            <w:r>
              <w:rPr>
                <w:b/>
                <w:bCs/>
              </w:rPr>
              <w:t xml:space="preserve">Empirical Stats</w:t>
            </w:r>
          </w:p>
        </w:tc>
      </w:tr>
      <w:tr>
        <w:tc>
          <w:tcPr/>
          <w:p>
            <w:pPr>
              <w:pStyle w:val="Compact"/>
            </w:pPr>
            <w:r>
              <w:rPr>
                <w:b/>
                <w:bCs/>
              </w:rPr>
              <w:t xml:space="preserve">Staking Rewards (Consensus Issuance)</w:t>
            </w:r>
          </w:p>
        </w:tc>
        <w:tc>
          <w:tcPr/>
          <w:p>
            <w:pPr>
              <w:pStyle w:val="Compact"/>
            </w:pPr>
            <w:r>
              <w:t xml:space="preserve">Protocol-issued ETH for block validation (PoS). Incentivizes validators.</w:t>
            </w:r>
          </w:p>
        </w:tc>
        <w:tc>
          <w:tcPr/>
          <w:p>
            <w:pPr>
              <w:pStyle w:val="Compact"/>
            </w:pPr>
            <w:r>
              <w:t xml:space="preserve">Continuous (annual, compounding)</w:t>
            </w:r>
          </w:p>
        </w:tc>
        <w:tc>
          <w:tcPr/>
          <w:p>
            <w:pPr>
              <w:pStyle w:val="Compact"/>
            </w:pPr>
            <w:r>
              <w:t xml:space="preserve">Relatively stable (~3% nominal yield</w:t>
            </w:r>
            <w:hyperlink r:id="rId35">
              <w:r>
                <w:rPr>
                  <w:rStyle w:val="Hyperlink"/>
                </w:rPr>
                <w:t xml:space="preserve">[13]</w:t>
              </w:r>
            </w:hyperlink>
            <w:r>
              <w:t xml:space="preserve">). Risks: slashing (validator fault), lock-up, competition lowers yield.</w:t>
            </w:r>
          </w:p>
        </w:tc>
        <w:tc>
          <w:tcPr/>
          <w:p>
            <w:pPr>
              <w:pStyle w:val="Compact"/>
            </w:pPr>
            <w:r>
              <w:t xml:space="preserve">On-chain (Beacon Chain API, CoinMetrics, Etherscan); validator dashboards.</w:t>
            </w:r>
          </w:p>
        </w:tc>
        <w:tc>
          <w:tcPr/>
          <w:p>
            <w:pPr>
              <w:pStyle w:val="Compact"/>
            </w:pPr>
            <w:r>
              <w:t xml:space="preserve">3.08% nominal (2.73% real) yield</w:t>
            </w:r>
            <w:hyperlink r:id="rId35">
              <w:r>
                <w:rPr>
                  <w:rStyle w:val="Hyperlink"/>
                </w:rPr>
                <w:t xml:space="preserve">[13]</w:t>
              </w:r>
            </w:hyperlink>
            <w:r>
              <w:t xml:space="preserve">; depends on total ETH staked (28% staked as of Dec 2024</w:t>
            </w:r>
            <w:hyperlink r:id="rId35">
              <w:r>
                <w:rPr>
                  <w:rStyle w:val="Hyperlink"/>
                </w:rPr>
                <w:t xml:space="preserve">[13]</w:t>
              </w:r>
            </w:hyperlink>
            <w:r>
              <w:t xml:space="preserve">).</w:t>
            </w:r>
          </w:p>
        </w:tc>
      </w:tr>
      <w:tr>
        <w:tc>
          <w:tcPr/>
          <w:p>
            <w:pPr>
              <w:pStyle w:val="Compact"/>
            </w:pPr>
            <w:r>
              <w:rPr>
                <w:b/>
                <w:bCs/>
              </w:rPr>
              <w:t xml:space="preserve">Transaction Fees (Gas)</w:t>
            </w:r>
          </w:p>
        </w:tc>
        <w:tc>
          <w:tcPr/>
          <w:p>
            <w:pPr>
              <w:pStyle w:val="Compact"/>
            </w:pPr>
            <w:r>
              <w:t xml:space="preserve">Network usage: fees paid by users (base fee burned; priority fee to validators).</w:t>
            </w:r>
          </w:p>
        </w:tc>
        <w:tc>
          <w:tcPr/>
          <w:p>
            <w:pPr>
              <w:pStyle w:val="Compact"/>
            </w:pPr>
            <w:r>
              <w:t xml:space="preserve">Per-block (~seconds)</w:t>
            </w:r>
          </w:p>
        </w:tc>
        <w:tc>
          <w:tcPr/>
          <w:p>
            <w:pPr>
              <w:pStyle w:val="Compact"/>
            </w:pPr>
            <w:r>
              <w:t xml:space="preserve">Highly volatile, spikes during congestion. No guaranteed floor (recently ~$1–3/tx)</w:t>
            </w:r>
            <w:hyperlink r:id="rId36">
              <w:r>
                <w:rPr>
                  <w:rStyle w:val="Hyperlink"/>
                </w:rPr>
                <w:t xml:space="preserve">[14]</w:t>
              </w:r>
            </w:hyperlink>
            <w:r>
              <w:t xml:space="preserve">.</w:t>
            </w:r>
          </w:p>
        </w:tc>
        <w:tc>
          <w:tcPr/>
          <w:p>
            <w:pPr>
              <w:pStyle w:val="Compact"/>
            </w:pPr>
            <w:r>
              <w:t xml:space="preserve">On-chain (Etherscan, TheGraph), analytics (CoinMetrics, Glassnode).</w:t>
            </w:r>
          </w:p>
        </w:tc>
        <w:tc>
          <w:tcPr/>
          <w:p>
            <w:pPr>
              <w:pStyle w:val="Compact"/>
            </w:pPr>
            <w:r>
              <w:t xml:space="preserve">Peak avg $53 in May 2021; ~$0.36–$1 in 2024–2025</w:t>
            </w:r>
            <w:hyperlink r:id="rId36">
              <w:r>
                <w:rPr>
                  <w:rStyle w:val="Hyperlink"/>
                </w:rPr>
                <w:t xml:space="preserve">[14]</w:t>
              </w:r>
            </w:hyperlink>
            <w:r>
              <w:t xml:space="preserve">; extremely cyclic.</w:t>
            </w:r>
          </w:p>
        </w:tc>
      </w:tr>
      <w:tr>
        <w:tc>
          <w:tcPr/>
          <w:p>
            <w:pPr>
              <w:pStyle w:val="Compact"/>
            </w:pPr>
            <w:r>
              <w:rPr>
                <w:b/>
                <w:bCs/>
              </w:rPr>
              <w:t xml:space="preserve">MEV / Priority-Tip Rewards</w:t>
            </w:r>
          </w:p>
        </w:tc>
        <w:tc>
          <w:tcPr/>
          <w:p>
            <w:pPr>
              <w:pStyle w:val="Compact"/>
            </w:pPr>
            <w:r>
              <w:t xml:space="preserve">Validators/miners capture arbitrage, front-run opportunities (Maximal Extractable Value). Volatile opportunistic gains.</w:t>
            </w:r>
          </w:p>
        </w:tc>
        <w:tc>
          <w:tcPr/>
          <w:p>
            <w:pPr>
              <w:pStyle w:val="Compact"/>
            </w:pPr>
            <w:r>
              <w:t xml:space="preserve">Per-block (seconds)</w:t>
            </w:r>
          </w:p>
        </w:tc>
        <w:tc>
          <w:tcPr/>
          <w:p>
            <w:pPr>
              <w:pStyle w:val="Compact"/>
            </w:pPr>
            <w:r>
              <w:t xml:space="preserve">Unpredictable; correlated with network activity and DeFi/DEX usage. Only realized if active in block-building.</w:t>
            </w:r>
          </w:p>
        </w:tc>
        <w:tc>
          <w:tcPr/>
          <w:p>
            <w:pPr>
              <w:pStyle w:val="Compact"/>
            </w:pPr>
            <w:r>
              <w:t xml:space="preserve">Flashbots data, MEV-boost reports; specialized APIs (e.g. MEVstream).</w:t>
            </w:r>
          </w:p>
        </w:tc>
        <w:tc>
          <w:tcPr/>
          <w:p>
            <w:pPr>
              <w:pStyle w:val="Compact"/>
            </w:pPr>
            <w:r>
              <w:t xml:space="preserve">Estimates vary; some blocks yield several percent APY on staked ETH (e.g. +2–3% surge in staking yield during high MEV days</w:t>
            </w:r>
            <w:hyperlink r:id="rId37">
              <w:r>
                <w:rPr>
                  <w:rStyle w:val="Hyperlink"/>
                </w:rPr>
                <w:t xml:space="preserve">[15]</w:t>
              </w:r>
            </w:hyperlink>
            <w:r>
              <w:t xml:space="preserve">).</w:t>
            </w:r>
          </w:p>
        </w:tc>
      </w:tr>
      <w:tr>
        <w:tc>
          <w:tcPr/>
          <w:p>
            <w:pPr>
              <w:pStyle w:val="Compact"/>
            </w:pPr>
            <w:r>
              <w:rPr>
                <w:b/>
                <w:bCs/>
              </w:rPr>
              <w:t xml:space="preserve">Airdrops / Protocol Incentives</w:t>
            </w:r>
          </w:p>
        </w:tc>
        <w:tc>
          <w:tcPr/>
          <w:p>
            <w:pPr>
              <w:pStyle w:val="Compact"/>
            </w:pPr>
            <w:r>
              <w:t xml:space="preserve">Sporadic token drops from new projects (snapshots of ETH holders) or DeFi launch rewards.</w:t>
            </w:r>
          </w:p>
        </w:tc>
        <w:tc>
          <w:tcPr/>
          <w:p>
            <w:pPr>
              <w:pStyle w:val="Compact"/>
            </w:pPr>
            <w:r>
              <w:t xml:space="preserve">Discrete events (weeks–months)</w:t>
            </w:r>
          </w:p>
        </w:tc>
        <w:tc>
          <w:tcPr/>
          <w:p>
            <w:pPr>
              <w:pStyle w:val="Compact"/>
            </w:pPr>
            <w:r>
              <w:t xml:space="preserve">Opportunistic and irregular. High potential upside but non-recurring. Selection risk (eligibility criteria).</w:t>
            </w:r>
          </w:p>
        </w:tc>
        <w:tc>
          <w:tcPr/>
          <w:p>
            <w:pPr>
              <w:pStyle w:val="Compact"/>
            </w:pPr>
            <w:r>
              <w:t xml:space="preserve">Announcements (project blogs, snapshot sites), aggregator sites (DeFi Llama, CoinGecko airdrops).</w:t>
            </w:r>
          </w:p>
        </w:tc>
        <w:tc>
          <w:tcPr/>
          <w:p>
            <w:pPr>
              <w:pStyle w:val="Compact"/>
            </w:pPr>
            <w:r>
              <w:t xml:space="preserve">Example: Uniswap airdrop (Sep 2020) gave ~400 UNI (~$3,000) to early ETH users. No steady rate.</w:t>
            </w:r>
          </w:p>
        </w:tc>
      </w:tr>
      <w:tr>
        <w:tc>
          <w:tcPr/>
          <w:p>
            <w:pPr>
              <w:pStyle w:val="Compact"/>
            </w:pPr>
            <w:r>
              <w:rPr>
                <w:b/>
                <w:bCs/>
              </w:rPr>
              <w:t xml:space="preserve">Tokenomics Inflation</w:t>
            </w:r>
          </w:p>
        </w:tc>
        <w:tc>
          <w:tcPr/>
          <w:p>
            <w:pPr>
              <w:pStyle w:val="Compact"/>
            </w:pPr>
            <w:r>
              <w:t xml:space="preserve">Net ETH supply change: new issuance minus EIP-1559 burn.</w:t>
            </w:r>
          </w:p>
        </w:tc>
        <w:tc>
          <w:tcPr/>
          <w:p>
            <w:pPr>
              <w:pStyle w:val="Compact"/>
            </w:pPr>
            <w:r>
              <w:t xml:space="preserve">Continuous (annualized)</w:t>
            </w:r>
          </w:p>
        </w:tc>
        <w:tc>
          <w:tcPr/>
          <w:p>
            <w:pPr>
              <w:pStyle w:val="Compact"/>
            </w:pPr>
            <w:r>
              <w:t xml:space="preserve">Generally low inflation (~0.35% p.a.</w:t>
            </w:r>
            <w:hyperlink r:id="rId35">
              <w:r>
                <w:rPr>
                  <w:rStyle w:val="Hyperlink"/>
                </w:rPr>
                <w:t xml:space="preserve">[13]</w:t>
              </w:r>
            </w:hyperlink>
            <w:r>
              <w:t xml:space="preserve">). Can be deflationary if burn &gt; issuance. Inflation dilutes holders.</w:t>
            </w:r>
          </w:p>
        </w:tc>
        <w:tc>
          <w:tcPr/>
          <w:p>
            <w:pPr>
              <w:pStyle w:val="Compact"/>
            </w:pPr>
            <w:r>
              <w:t xml:space="preserve">Etherscan chain stats, Coin Metrics (inflation rate).</w:t>
            </w:r>
          </w:p>
        </w:tc>
        <w:tc>
          <w:tcPr/>
          <w:p>
            <w:pPr>
              <w:pStyle w:val="Compact"/>
            </w:pPr>
            <w:r>
              <w:t xml:space="preserve">Recent net issuance ~0.35%/yr</w:t>
            </w:r>
            <w:hyperlink r:id="rId35">
              <w:r>
                <w:rPr>
                  <w:rStyle w:val="Hyperlink"/>
                </w:rPr>
                <w:t xml:space="preserve">[13]</w:t>
              </w:r>
            </w:hyperlink>
            <w:r>
              <w:t xml:space="preserve">; some years (2023–2024) experienced net deflation due to high fee burns.</w:t>
            </w:r>
          </w:p>
        </w:tc>
      </w:tr>
      <w:tr>
        <w:tc>
          <w:tcPr/>
          <w:p>
            <w:pPr>
              <w:pStyle w:val="Compact"/>
            </w:pPr>
            <w:r>
              <w:rPr>
                <w:b/>
                <w:bCs/>
              </w:rPr>
              <w:t xml:space="preserve">Liquidity Mining / Yield Farming</w:t>
            </w:r>
          </w:p>
        </w:tc>
        <w:tc>
          <w:tcPr/>
          <w:p>
            <w:pPr>
              <w:pStyle w:val="Compact"/>
            </w:pPr>
            <w:r>
              <w:t xml:space="preserve">DeFi protocols reward LPs/traders with tokens (e.g. UNI, AAVE) for staking ETH in pools.</w:t>
            </w:r>
          </w:p>
        </w:tc>
        <w:tc>
          <w:tcPr/>
          <w:p>
            <w:pPr>
              <w:pStyle w:val="Compact"/>
            </w:pPr>
            <w:r>
              <w:t xml:space="preserve">Continuous (daily accrual)</w:t>
            </w:r>
          </w:p>
        </w:tc>
        <w:tc>
          <w:tcPr/>
          <w:p>
            <w:pPr>
              <w:pStyle w:val="Compact"/>
            </w:pPr>
            <w:r>
              <w:t xml:space="preserve">High yields but volatile: APR can be 5–100% initially. Risks: impermanent loss, smart-contract hacks.</w:t>
            </w:r>
          </w:p>
        </w:tc>
        <w:tc>
          <w:tcPr/>
          <w:p>
            <w:pPr>
              <w:pStyle w:val="Compact"/>
            </w:pPr>
            <w:r>
              <w:t xml:space="preserve">Protocol APIs (Uniswap, Curve, Sushi), DeFi Pulse, DefiLlama.</w:t>
            </w:r>
          </w:p>
        </w:tc>
        <w:tc>
          <w:tcPr/>
          <w:p>
            <w:pPr>
              <w:pStyle w:val="Compact"/>
            </w:pPr>
            <w:r>
              <w:t xml:space="preserve">Typical LP APRs run from a few percent to double-digits when incentives are high. Highly variable over time (e.g. ranged ~10–50% for early AMMs in 2020–22).</w:t>
            </w:r>
          </w:p>
        </w:tc>
      </w:tr>
      <w:tr>
        <w:tc>
          <w:tcPr/>
          <w:p>
            <w:pPr>
              <w:pStyle w:val="Compact"/>
            </w:pPr>
            <w:r>
              <w:rPr>
                <w:b/>
                <w:bCs/>
              </w:rPr>
              <w:t xml:space="preserve">Lending Interest</w:t>
            </w:r>
          </w:p>
        </w:tc>
        <w:tc>
          <w:tcPr/>
          <w:p>
            <w:pPr>
              <w:pStyle w:val="Compact"/>
            </w:pPr>
            <w:r>
              <w:t xml:space="preserve">ETH deposited as collateral or loaned in lending platforms (Aave, Compound).</w:t>
            </w:r>
          </w:p>
        </w:tc>
        <w:tc>
          <w:tcPr/>
          <w:p>
            <w:pPr>
              <w:pStyle w:val="Compact"/>
            </w:pPr>
            <w:r>
              <w:t xml:space="preserve">Continuous (hourly/daily APY)</w:t>
            </w:r>
          </w:p>
        </w:tc>
        <w:tc>
          <w:tcPr/>
          <w:p>
            <w:pPr>
              <w:pStyle w:val="Compact"/>
            </w:pPr>
            <w:r>
              <w:t xml:space="preserve">Moderate rates, set by supply-demand. Risk of borrower default or protocol failure.</w:t>
            </w:r>
          </w:p>
        </w:tc>
        <w:tc>
          <w:tcPr/>
          <w:p>
            <w:pPr>
              <w:pStyle w:val="Compact"/>
            </w:pPr>
            <w:r>
              <w:t xml:space="preserve">DeFi lending APIs, on-chain contracts, CoinGecko rates.</w:t>
            </w:r>
          </w:p>
        </w:tc>
        <w:tc>
          <w:tcPr/>
          <w:p>
            <w:pPr>
              <w:pStyle w:val="Compact"/>
            </w:pPr>
            <w:r>
              <w:t xml:space="preserve">For ETH: Aave/Compound borrow rates ~3–5% (2024), deposit (lend) rates ~1–3%. Fluctuates with crypto volatility.</w:t>
            </w:r>
          </w:p>
        </w:tc>
      </w:tr>
      <w:tr>
        <w:tc>
          <w:tcPr/>
          <w:p>
            <w:pPr>
              <w:pStyle w:val="Compact"/>
            </w:pPr>
            <w:r>
              <w:rPr>
                <w:b/>
                <w:bCs/>
              </w:rPr>
              <w:t xml:space="preserve">Governance Rewards</w:t>
            </w:r>
          </w:p>
        </w:tc>
        <w:tc>
          <w:tcPr/>
          <w:p>
            <w:pPr>
              <w:pStyle w:val="Compact"/>
            </w:pPr>
            <w:r>
              <w:t xml:space="preserve">(Ethereum itself has no native governance token rewards; for completeness) Occasionally some projects reward governance participation (airdrop or staking rewards for governance token holders).</w:t>
            </w:r>
          </w:p>
        </w:tc>
        <w:tc>
          <w:tcPr/>
          <w:p>
            <w:pPr>
              <w:pStyle w:val="Compact"/>
            </w:pPr>
            <w:r>
              <w:t xml:space="preserve">Event-driven</w:t>
            </w:r>
          </w:p>
        </w:tc>
        <w:tc>
          <w:tcPr/>
          <w:p>
            <w:pPr>
              <w:pStyle w:val="Compact"/>
            </w:pPr>
            <w:r>
              <w:t xml:space="preserve">Typically minor relative to other streams; not a consistent ETH return.</w:t>
            </w:r>
          </w:p>
        </w:tc>
        <w:tc>
          <w:tcPr/>
          <w:p>
            <w:pPr>
              <w:pStyle w:val="Compact"/>
            </w:pPr>
            <w:r>
              <w:t xml:space="preserve">Project protocols (rare).</w:t>
            </w:r>
          </w:p>
        </w:tc>
        <w:tc>
          <w:tcPr/>
          <w:p>
            <w:pPr>
              <w:pStyle w:val="Compact"/>
            </w:pPr>
            <w:r>
              <w:t xml:space="preserve">Generally negligible for core ETH; omit quantitative stat.</w:t>
            </w:r>
          </w:p>
        </w:tc>
      </w:tr>
      <w:tr>
        <w:tc>
          <w:tcPr/>
          <w:p>
            <w:pPr>
              <w:pStyle w:val="Compact"/>
            </w:pPr>
            <w:r>
              <w:rPr>
                <w:b/>
                <w:bCs/>
              </w:rPr>
              <w:t xml:space="preserve">Price Appreciation</w:t>
            </w:r>
          </w:p>
        </w:tc>
        <w:tc>
          <w:tcPr/>
          <w:p>
            <w:pPr>
              <w:pStyle w:val="Compact"/>
            </w:pPr>
            <w:r>
              <w:t xml:space="preserve">Market supply-demand, speculation, macro factors.</w:t>
            </w:r>
          </w:p>
        </w:tc>
        <w:tc>
          <w:tcPr/>
          <w:p>
            <w:pPr>
              <w:pStyle w:val="Compact"/>
            </w:pPr>
            <w:r>
              <w:t xml:space="preserve">Continuous (daily volatility)</w:t>
            </w:r>
          </w:p>
        </w:tc>
        <w:tc>
          <w:tcPr/>
          <w:p>
            <w:pPr>
              <w:pStyle w:val="Compact"/>
            </w:pPr>
            <w:r>
              <w:t xml:space="preserve">Highest volatility (historical 30–60% annual SD). Systemic risk (market crashes) and tail risk.</w:t>
            </w:r>
          </w:p>
        </w:tc>
        <w:tc>
          <w:tcPr/>
          <w:p>
            <w:pPr>
              <w:pStyle w:val="Compact"/>
            </w:pPr>
            <w:r>
              <w:t xml:space="preserve">Exchanges, market data (CoinGecko, CoinMarketCap).</w:t>
            </w:r>
          </w:p>
        </w:tc>
        <w:tc>
          <w:tcPr/>
          <w:p>
            <w:pPr>
              <w:pStyle w:val="Compact"/>
            </w:pPr>
            <w:r>
              <w:t xml:space="preserve">ETH price changes: e.g. +500% (2020–21), –50% (2022); very regime-dependent.</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