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b54ebdb8952eaeac35a25be33eb4300eaf09afd"/>
    <w:p>
      <w:pPr>
        <w:pStyle w:val="Heading1"/>
      </w:pPr>
      <w:r>
        <w:t xml:space="preserve">Self-Adaptive Investment System for Blockchain Assets</w:t>
      </w:r>
    </w:p>
    <w:bookmarkStart w:id="21" w:name="executive-summary"/>
    <w:p>
      <w:pPr>
        <w:pStyle w:val="Heading2"/>
      </w:pPr>
      <w:r>
        <w:t xml:space="preserve">Executive Summary</w:t>
      </w:r>
    </w:p>
    <w:p>
      <w:pPr>
        <w:pStyle w:val="FirstParagraph"/>
      </w:pPr>
      <w:r>
        <w:t xml:space="preserve">This report proposes a self-adaptive portfolio system integrating</w:t>
      </w:r>
      <w:r>
        <w:t xml:space="preserve"> </w:t>
      </w:r>
      <w:r>
        <w:rPr>
          <w:i/>
          <w:iCs/>
        </w:rPr>
        <w:t xml:space="preserve">multi-factor models</w:t>
      </w:r>
      <w:r>
        <w:t xml:space="preserve"> </w:t>
      </w:r>
      <w:r>
        <w:t xml:space="preserve">and AI-driven parameter tuning, tailored for blockchain-native assets (e.g. Ethereum) but extensible to traditional assets. We first review the literature on multi-factor investing, regime-switching/adaptive portfolios, and online/AI-based tuning (RL, bandits, meta-learning, Bayesian methods). Next, we catalog Ethereum’s distinct return streams – staking yields, transaction fees, MEV/validator rewards, airdrops, token inflation, liquidity/mining incentives, lending rates, governance incentives, and price movements – summarizing drivers, timescales, risks, data sources and empirical stats in a comparative table. We outline a</w:t>
      </w:r>
      <w:r>
        <w:t xml:space="preserve"> </w:t>
      </w:r>
      <w:r>
        <w:rPr>
          <w:b/>
          <w:bCs/>
        </w:rPr>
        <w:t xml:space="preserve">modular system architecture</w:t>
      </w:r>
      <w:r>
        <w:t xml:space="preserve"> </w:t>
      </w:r>
      <w:r>
        <w:t xml:space="preserve">(data pipeline, factor construction, risk model, optimizer, AI tuner, execution, monitoring) and provide a Mermaid block diagram. We then discuss modeling approaches for factors (linear, nonlinear, Bayesian, state-space/regime) and for blending heterogeneous returns, and survey AI tuning methods (policy-gradient RL, contextual bandits, Bayesian optimization, meta-learning) with their tradeoffs (sample efficiency, stability, safe exploration). For backtesting, we emphasize realistic simulation (transaction costs, slippage, on-chain constraints, adversarial stress, walk-forward validation) and evaluation metrics (Sharpe, Sortino, drawdown, tail risk, turnover, realized vs. expected returns). We suggest hypothetical strategy comparisons across regimes. Finally, we give an</w:t>
      </w:r>
      <w:r>
        <w:t xml:space="preserve"> </w:t>
      </w:r>
      <w:r>
        <w:rPr>
          <w:b/>
          <w:bCs/>
        </w:rPr>
        <w:t xml:space="preserve">implementation roadmap</w:t>
      </w:r>
      <w:r>
        <w:t xml:space="preserve"> </w:t>
      </w:r>
      <w:r>
        <w:t xml:space="preserve">(data APIs, timeline tasks in Mermaid Gantt, compute and open-source tools) and discuss</w:t>
      </w:r>
      <w:r>
        <w:t xml:space="preserve"> </w:t>
      </w:r>
      <w:r>
        <w:rPr>
          <w:b/>
          <w:bCs/>
        </w:rPr>
        <w:t xml:space="preserve">risks/governance</w:t>
      </w:r>
      <w:r>
        <w:t xml:space="preserve">: model risk, data integrity/oracles, regulatory issues, and the need for explainability. All claims are supported by recent literature and data sources.</w:t>
      </w:r>
    </w:p>
    <w:bookmarkEnd w:id="21"/>
    <w:bookmarkStart w:id="34" w:name="literature-review"/>
    <w:p>
      <w:pPr>
        <w:pStyle w:val="Heading2"/>
      </w:pPr>
      <w:r>
        <w:t xml:space="preserve">1. Literature Review</w:t>
      </w:r>
    </w:p>
    <w:p>
      <w:pPr>
        <w:pStyle w:val="FirstParagraph"/>
      </w:pPr>
      <w:r>
        <w:rPr>
          <w:b/>
          <w:bCs/>
        </w:rPr>
        <w:t xml:space="preserve">Multi-Factor and Factor-Timing Models:</w:t>
      </w:r>
      <w:r>
        <w:t xml:space="preserve"> </w:t>
      </w:r>
      <w:r>
        <w:t xml:space="preserve">Multi-factor models decompose asset returns into contributions from risk factors (e.g. market, size, value, momentum) and are foundational in asset pricing</w:t>
      </w:r>
      <w:hyperlink r:id="rId22">
        <w:r>
          <w:rPr>
            <w:rStyle w:val="Hyperlink"/>
          </w:rPr>
          <w:t xml:space="preserve">[1]</w:t>
        </w:r>
      </w:hyperlink>
      <w:r>
        <w:t xml:space="preserve">. Classical models (Sharpe’s CAPM, Fama–French 3/5-factor, Carhart 4-factor, etc.) assume static betas and linear exposures. Modern approaches relax these assumptions via</w:t>
      </w:r>
      <w:r>
        <w:t xml:space="preserve"> </w:t>
      </w:r>
      <w:r>
        <w:rPr>
          <w:b/>
          <w:bCs/>
        </w:rPr>
        <w:t xml:space="preserve">time-varying and regime-dependent factors</w:t>
      </w:r>
      <w:r>
        <w:t xml:space="preserve">. For example, regime-switching factor models treat market regimes (bull, bear, neutral) as latent states that modulate factor sensitivities</w:t>
      </w:r>
      <w:hyperlink r:id="rId23">
        <w:r>
          <w:rPr>
            <w:rStyle w:val="Hyperlink"/>
          </w:rPr>
          <w:t xml:space="preserve">[2]</w:t>
        </w:r>
      </w:hyperlink>
      <w:r>
        <w:t xml:space="preserve">. Zhu (2022) fits a regime-switching factor model to cryptocurrency returns, finding that a moderate number of regimes optimally explain joint equity and factor dynamics</w:t>
      </w:r>
      <w:hyperlink r:id="rId24">
        <w:r>
          <w:rPr>
            <w:rStyle w:val="Hyperlink"/>
          </w:rPr>
          <w:t xml:space="preserve">[3]</w:t>
        </w:r>
      </w:hyperlink>
      <w:r>
        <w:t xml:space="preserve">. Embedding latent regime models (e.g. Hidden Markov Models on volatility/correlation) into portfolio allocation has been shown to improve risk-adjusted returns. Thang (2025) applies HMM-regime detection to equity portfolios and trains a PPO-based allocation agent; the regime-aware RL strategy significantly outperforms static benchmarks in Sharpe and drawdown</w:t>
      </w:r>
      <w:hyperlink r:id="rId23">
        <w:r>
          <w:rPr>
            <w:rStyle w:val="Hyperlink"/>
          </w:rPr>
          <w:t xml:space="preserve">[2]</w:t>
        </w:r>
      </w:hyperlink>
      <w:hyperlink r:id="rId25">
        <w:r>
          <w:rPr>
            <w:rStyle w:val="Hyperlink"/>
          </w:rPr>
          <w:t xml:space="preserve">[4]</w:t>
        </w:r>
      </w:hyperlink>
      <w:r>
        <w:t xml:space="preserve">. In general,</w:t>
      </w:r>
      <w:r>
        <w:t xml:space="preserve"> </w:t>
      </w:r>
      <w:r>
        <w:rPr>
          <w:i/>
          <w:iCs/>
        </w:rPr>
        <w:t xml:space="preserve">adaptive portfolios</w:t>
      </w:r>
      <w:r>
        <w:t xml:space="preserve"> </w:t>
      </w:r>
      <w:r>
        <w:t xml:space="preserve">that infer latent regimes can adjust exposures in response to market shifts, mitigating tail risk and structural breaks. Nixon (2025) similarly finds that RL agents incorporating probabilistic regime signals achieve greater stability and performance than naive strategies</w:t>
      </w:r>
      <w:hyperlink r:id="rId26">
        <w:r>
          <w:rPr>
            <w:rStyle w:val="Hyperlink"/>
          </w:rPr>
          <w:t xml:space="preserve">[5]</w:t>
        </w:r>
      </w:hyperlink>
      <w:hyperlink r:id="rId23">
        <w:r>
          <w:rPr>
            <w:rStyle w:val="Hyperlink"/>
          </w:rPr>
          <w:t xml:space="preserve">[2]</w:t>
        </w:r>
      </w:hyperlink>
      <w:r>
        <w:t xml:space="preserve">.</w:t>
      </w:r>
    </w:p>
    <w:p>
      <w:pPr>
        <w:pStyle w:val="BodyText"/>
      </w:pPr>
      <w:r>
        <w:rPr>
          <w:b/>
          <w:bCs/>
        </w:rPr>
        <w:t xml:space="preserve">Adaptive and Online Allocation (RL, Bandits, Bayesian):</w:t>
      </w:r>
      <w:r>
        <w:t xml:space="preserve"> </w:t>
      </w:r>
      <w:r>
        <w:t xml:space="preserve">Recent research extensively explores AI and online learning for portfolio selection. Deep RL (e.g. DDPG, PPO) trained on historical data can learn dynamic allocation policies that</w:t>
      </w:r>
      <w:r>
        <w:t xml:space="preserve"> </w:t>
      </w:r>
      <w:r>
        <w:rPr>
          <w:i/>
          <w:iCs/>
        </w:rPr>
        <w:t xml:space="preserve">often exceed</w:t>
      </w:r>
      <w:r>
        <w:t xml:space="preserve"> </w:t>
      </w:r>
      <w:r>
        <w:t xml:space="preserve">traditional mean–variance portfolios in practice</w:t>
      </w:r>
      <w:hyperlink r:id="rId27">
        <w:r>
          <w:rPr>
            <w:rStyle w:val="Hyperlink"/>
          </w:rPr>
          <w:t xml:space="preserve">[6]</w:t>
        </w:r>
      </w:hyperlink>
      <w:hyperlink r:id="rId28">
        <w:r>
          <w:rPr>
            <w:rStyle w:val="Hyperlink"/>
          </w:rPr>
          <w:t xml:space="preserve">[7]</w:t>
        </w:r>
      </w:hyperlink>
      <w:r>
        <w:t xml:space="preserve">. For example, Sood et al. (2026) report that a well-tuned DRL agent attains higher Sharpe, lower drawdown and absolute returns than classical MVO</w:t>
      </w:r>
      <w:hyperlink r:id="rId28">
        <w:r>
          <w:rPr>
            <w:rStyle w:val="Hyperlink"/>
          </w:rPr>
          <w:t xml:space="preserve">[7]</w:t>
        </w:r>
      </w:hyperlink>
      <w:r>
        <w:t xml:space="preserve">. Bandit algorithms provide a lighter-touch approach: contextual bandits (e.g. LinUCB, Thompson Sampling) use market features as context to select between discrete strategy “arms”. Ozkaya &amp; Wang (2020) show that contextual bandits with relevant financial context can outperform classical methods, consistently yielding higher Sharpe ratios under proper reward modeling</w:t>
      </w:r>
      <w:hyperlink r:id="rId29">
        <w:r>
          <w:rPr>
            <w:rStyle w:val="Hyperlink"/>
          </w:rPr>
          <w:t xml:space="preserve">[8]</w:t>
        </w:r>
      </w:hyperlink>
      <w:r>
        <w:t xml:space="preserve">. Bayesian optimization (BO) is leveraged as a</w:t>
      </w:r>
      <w:r>
        <w:t xml:space="preserve"> </w:t>
      </w:r>
      <w:r>
        <w:rPr>
          <w:i/>
          <w:iCs/>
        </w:rPr>
        <w:t xml:space="preserve">sample-efficient</w:t>
      </w:r>
      <w:r>
        <w:t xml:space="preserve"> </w:t>
      </w:r>
      <w:r>
        <w:t xml:space="preserve">hyperparameter tuner. Zinuo You et al. (2025) propose an adaptive BO framework (TPE-AS) that explicitly trades off maximizing expected return vs. stability; this yields a more stable search and improved Sharpe for portfolio models under tight evaluation budgets</w:t>
      </w:r>
      <w:hyperlink r:id="rId30">
        <w:r>
          <w:rPr>
            <w:rStyle w:val="Hyperlink"/>
          </w:rPr>
          <w:t xml:space="preserve">[9]</w:t>
        </w:r>
      </w:hyperlink>
      <w:r>
        <w:t xml:space="preserve">. Finally, meta-learning approaches (e.g. Model-Agnostic Meta-Learning) train across many market environments to learn initialization or strategy mixtures that rapidly adapt to new regimes. Shen et al. (2025) use a mixture-of-policies meta-learning method to dynamically allocate among specialist strategies; by meta-training on multiple market segments, their system quickly rebalances to new conditions and shows superior robustness with limited training data</w:t>
      </w:r>
      <w:hyperlink r:id="rId31">
        <w:r>
          <w:rPr>
            <w:rStyle w:val="Hyperlink"/>
          </w:rPr>
          <w:t xml:space="preserve">[10]</w:t>
        </w:r>
      </w:hyperlink>
      <w:hyperlink r:id="rId32">
        <w:r>
          <w:rPr>
            <w:rStyle w:val="Hyperlink"/>
          </w:rPr>
          <w:t xml:space="preserve">[11]</w:t>
        </w:r>
      </w:hyperlink>
      <w:r>
        <w:t xml:space="preserve">. In summary, the literature finds that</w:t>
      </w:r>
      <w:r>
        <w:t xml:space="preserve"> </w:t>
      </w:r>
      <w:r>
        <w:rPr>
          <w:b/>
          <w:bCs/>
        </w:rPr>
        <w:t xml:space="preserve">modern AI methods (RL, bandits, meta-learning, BO)</w:t>
      </w:r>
      <w:r>
        <w:t xml:space="preserve"> </w:t>
      </w:r>
      <w:r>
        <w:t xml:space="preserve">can tune portfolio parameters adaptively, but they trade off</w:t>
      </w:r>
      <w:r>
        <w:t xml:space="preserve"> </w:t>
      </w:r>
      <w:r>
        <w:rPr>
          <w:i/>
          <w:iCs/>
        </w:rPr>
        <w:t xml:space="preserve">sample efficiency</w:t>
      </w:r>
      <w:r>
        <w:t xml:space="preserve">,</w:t>
      </w:r>
      <w:r>
        <w:t xml:space="preserve"> </w:t>
      </w:r>
      <w:r>
        <w:rPr>
          <w:i/>
          <w:iCs/>
        </w:rPr>
        <w:t xml:space="preserve">stability</w:t>
      </w:r>
      <w:r>
        <w:t xml:space="preserve">, and</w:t>
      </w:r>
      <w:r>
        <w:t xml:space="preserve"> </w:t>
      </w:r>
      <w:r>
        <w:rPr>
          <w:i/>
          <w:iCs/>
        </w:rPr>
        <w:t xml:space="preserve">explainability</w:t>
      </w:r>
      <w:r>
        <w:t xml:space="preserve">. Surveys note that deep learning and RL have become increasingly prominent in quantitative portfolio research</w:t>
      </w:r>
      <w:hyperlink r:id="rId33">
        <w:r>
          <w:rPr>
            <w:rStyle w:val="Hyperlink"/>
          </w:rPr>
          <w:t xml:space="preserve">[12]</w:t>
        </w:r>
      </w:hyperlink>
      <w:r>
        <w:t xml:space="preserve">, yet they often require careful validation to avoid overfitting.</w:t>
      </w:r>
    </w:p>
    <w:bookmarkEnd w:id="34"/>
    <w:bookmarkStart w:id="38" w:name="X40719c63dc5d9f25564f09acc3eb177d59ef873"/>
    <w:p>
      <w:pPr>
        <w:pStyle w:val="Heading2"/>
      </w:pPr>
      <w:r>
        <w:t xml:space="preserve">2. Return Streams of a Blockchain Asset (Ethereum)</w:t>
      </w:r>
    </w:p>
    <w:p>
      <w:pPr>
        <w:pStyle w:val="FirstParagraph"/>
      </w:pPr>
      <w:r>
        <w:t xml:space="preserve">A single blockchain asset like Ethereum generates multiple, heterogeneous return streams beyond simple price changes. Table 1 compares key streams: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Stream</w:t>
            </w:r>
          </w:p>
        </w:tc>
        <w:tc>
          <w:tcPr/>
          <w:p>
            <w:pPr>
              <w:pStyle w:val="Compact"/>
            </w:pPr>
            <w:r>
              <w:rPr>
                <w:b/>
                <w:bCs/>
              </w:rPr>
              <w:t xml:space="preserve">Economic Driver</w:t>
            </w:r>
          </w:p>
        </w:tc>
        <w:tc>
          <w:tcPr/>
          <w:p>
            <w:pPr>
              <w:pStyle w:val="Compact"/>
            </w:pPr>
            <w:r>
              <w:rPr>
                <w:b/>
                <w:bCs/>
              </w:rPr>
              <w:t xml:space="preserve">Time Scale</w:t>
            </w:r>
          </w:p>
        </w:tc>
        <w:tc>
          <w:tcPr/>
          <w:p>
            <w:pPr>
              <w:pStyle w:val="Compact"/>
            </w:pPr>
            <w:r>
              <w:rPr>
                <w:b/>
                <w:bCs/>
              </w:rPr>
              <w:t xml:space="preserve">Risk/Characteristics</w:t>
            </w:r>
          </w:p>
        </w:tc>
        <w:tc>
          <w:tcPr/>
          <w:p>
            <w:pPr>
              <w:pStyle w:val="Compact"/>
            </w:pPr>
            <w:r>
              <w:rPr>
                <w:b/>
                <w:bCs/>
              </w:rPr>
              <w:t xml:space="preserve">Measurability / Data Sources</w:t>
            </w:r>
          </w:p>
        </w:tc>
        <w:tc>
          <w:tcPr/>
          <w:p>
            <w:pPr>
              <w:pStyle w:val="Compact"/>
            </w:pPr>
            <w:r>
              <w:rPr>
                <w:b/>
                <w:bCs/>
              </w:rPr>
              <w:t xml:space="preserve">Empirical Stats</w:t>
            </w:r>
          </w:p>
        </w:tc>
      </w:tr>
      <w:tr>
        <w:tc>
          <w:tcPr/>
          <w:p>
            <w:pPr>
              <w:pStyle w:val="Compact"/>
            </w:pPr>
            <w:r>
              <w:rPr>
                <w:b/>
                <w:bCs/>
              </w:rPr>
              <w:t xml:space="preserve">Staking Rewards (Consensus Issuance)</w:t>
            </w:r>
          </w:p>
        </w:tc>
        <w:tc>
          <w:tcPr/>
          <w:p>
            <w:pPr>
              <w:pStyle w:val="Compact"/>
            </w:pPr>
            <w:r>
              <w:t xml:space="preserve">Protocol-issued ETH for block validation (PoS). Incentivizes validators.</w:t>
            </w:r>
          </w:p>
        </w:tc>
        <w:tc>
          <w:tcPr/>
          <w:p>
            <w:pPr>
              <w:pStyle w:val="Compact"/>
            </w:pPr>
            <w:r>
              <w:t xml:space="preserve">Continuous (annual, compounding)</w:t>
            </w:r>
          </w:p>
        </w:tc>
        <w:tc>
          <w:tcPr/>
          <w:p>
            <w:pPr>
              <w:pStyle w:val="Compact"/>
            </w:pPr>
            <w:r>
              <w:t xml:space="preserve">Relatively stable (~3% nominal yield</w:t>
            </w:r>
            <w:hyperlink r:id="rId35">
              <w:r>
                <w:rPr>
                  <w:rStyle w:val="Hyperlink"/>
                </w:rPr>
                <w:t xml:space="preserve">[13]</w:t>
              </w:r>
            </w:hyperlink>
            <w:r>
              <w:t xml:space="preserve">). Risks: slashing (validator fault), lock-up, competition lowers yield.</w:t>
            </w:r>
          </w:p>
        </w:tc>
        <w:tc>
          <w:tcPr/>
          <w:p>
            <w:pPr>
              <w:pStyle w:val="Compact"/>
            </w:pPr>
            <w:r>
              <w:t xml:space="preserve">On-chain (Beacon Chain API, CoinMetrics, Etherscan); validator dashboards.</w:t>
            </w:r>
          </w:p>
        </w:tc>
        <w:tc>
          <w:tcPr/>
          <w:p>
            <w:pPr>
              <w:pStyle w:val="Compact"/>
            </w:pPr>
            <w:r>
              <w:t xml:space="preserve">3.08% nominal (2.73% real) yield</w:t>
            </w:r>
            <w:hyperlink r:id="rId35">
              <w:r>
                <w:rPr>
                  <w:rStyle w:val="Hyperlink"/>
                </w:rPr>
                <w:t xml:space="preserve">[13]</w:t>
              </w:r>
            </w:hyperlink>
            <w:r>
              <w:t xml:space="preserve">; depends on total ETH staked (28% staked as of Dec 2024</w:t>
            </w:r>
            <w:hyperlink r:id="rId35">
              <w:r>
                <w:rPr>
                  <w:rStyle w:val="Hyperlink"/>
                </w:rPr>
                <w:t xml:space="preserve">[13]</w:t>
              </w:r>
            </w:hyperlink>
            <w:r>
              <w:t xml:space="preserve">).</w:t>
            </w:r>
          </w:p>
        </w:tc>
      </w:tr>
      <w:tr>
        <w:tc>
          <w:tcPr/>
          <w:p>
            <w:pPr>
              <w:pStyle w:val="Compact"/>
            </w:pPr>
            <w:r>
              <w:rPr>
                <w:b/>
                <w:bCs/>
              </w:rPr>
              <w:t xml:space="preserve">Transaction Fees (Gas)</w:t>
            </w:r>
          </w:p>
        </w:tc>
        <w:tc>
          <w:tcPr/>
          <w:p>
            <w:pPr>
              <w:pStyle w:val="Compact"/>
            </w:pPr>
            <w:r>
              <w:t xml:space="preserve">Network usage: fees paid by users (base fee burned; priority fee to validators).</w:t>
            </w:r>
          </w:p>
        </w:tc>
        <w:tc>
          <w:tcPr/>
          <w:p>
            <w:pPr>
              <w:pStyle w:val="Compact"/>
            </w:pPr>
            <w:r>
              <w:t xml:space="preserve">Per-block (~seconds)</w:t>
            </w:r>
          </w:p>
        </w:tc>
        <w:tc>
          <w:tcPr/>
          <w:p>
            <w:pPr>
              <w:pStyle w:val="Compact"/>
            </w:pPr>
            <w:r>
              <w:t xml:space="preserve">Highly volatile, spikes during congestion. No guaranteed floor (recently ~$1–3/tx)</w:t>
            </w:r>
            <w:hyperlink r:id="rId36">
              <w:r>
                <w:rPr>
                  <w:rStyle w:val="Hyperlink"/>
                </w:rPr>
                <w:t xml:space="preserve">[14]</w:t>
              </w:r>
            </w:hyperlink>
            <w:r>
              <w:t xml:space="preserve">.</w:t>
            </w:r>
          </w:p>
        </w:tc>
        <w:tc>
          <w:tcPr/>
          <w:p>
            <w:pPr>
              <w:pStyle w:val="Compact"/>
            </w:pPr>
            <w:r>
              <w:t xml:space="preserve">On-chain (Etherscan, TheGraph), analytics (CoinMetrics, Glassnode).</w:t>
            </w:r>
          </w:p>
        </w:tc>
        <w:tc>
          <w:tcPr/>
          <w:p>
            <w:pPr>
              <w:pStyle w:val="Compact"/>
            </w:pPr>
            <w:r>
              <w:t xml:space="preserve">Peak avg $53 in May 2021; ~$0.36–$1 in 2024–2025</w:t>
            </w:r>
            <w:hyperlink r:id="rId36">
              <w:r>
                <w:rPr>
                  <w:rStyle w:val="Hyperlink"/>
                </w:rPr>
                <w:t xml:space="preserve">[14]</w:t>
              </w:r>
            </w:hyperlink>
            <w:r>
              <w:t xml:space="preserve">; extremely cyclic.</w:t>
            </w:r>
          </w:p>
        </w:tc>
      </w:tr>
      <w:tr>
        <w:tc>
          <w:tcPr/>
          <w:p>
            <w:pPr>
              <w:pStyle w:val="Compact"/>
            </w:pPr>
            <w:r>
              <w:rPr>
                <w:b/>
                <w:bCs/>
              </w:rPr>
              <w:t xml:space="preserve">MEV / Priority-Tip Rewards</w:t>
            </w:r>
          </w:p>
        </w:tc>
        <w:tc>
          <w:tcPr/>
          <w:p>
            <w:pPr>
              <w:pStyle w:val="Compact"/>
            </w:pPr>
            <w:r>
              <w:t xml:space="preserve">Validators/miners capture arbitrage, front-run opportunities (Maximal Extractable Value). Volatile opportunistic gains.</w:t>
            </w:r>
          </w:p>
        </w:tc>
        <w:tc>
          <w:tcPr/>
          <w:p>
            <w:pPr>
              <w:pStyle w:val="Compact"/>
            </w:pPr>
            <w:r>
              <w:t xml:space="preserve">Per-block (seconds)</w:t>
            </w:r>
          </w:p>
        </w:tc>
        <w:tc>
          <w:tcPr/>
          <w:p>
            <w:pPr>
              <w:pStyle w:val="Compact"/>
            </w:pPr>
            <w:r>
              <w:t xml:space="preserve">Unpredictable; correlated with network activity and DeFi/DEX usage. Only realized if active in block-building.</w:t>
            </w:r>
          </w:p>
        </w:tc>
        <w:tc>
          <w:tcPr/>
          <w:p>
            <w:pPr>
              <w:pStyle w:val="Compact"/>
            </w:pPr>
            <w:r>
              <w:t xml:space="preserve">Flashbots data, MEV-boost reports; specialized APIs (e.g. MEVstream).</w:t>
            </w:r>
          </w:p>
        </w:tc>
        <w:tc>
          <w:tcPr/>
          <w:p>
            <w:pPr>
              <w:pStyle w:val="Compact"/>
            </w:pPr>
            <w:r>
              <w:t xml:space="preserve">Estimates vary; some blocks yield several percent APY on staked ETH (e.g. +2–3% surge in staking yield during high MEV days</w:t>
            </w:r>
            <w:hyperlink r:id="rId37">
              <w:r>
                <w:rPr>
                  <w:rStyle w:val="Hyperlink"/>
                </w:rPr>
                <w:t xml:space="preserve">[15]</w:t>
              </w:r>
            </w:hyperlink>
            <w:r>
              <w:t xml:space="preserve">).</w:t>
            </w:r>
          </w:p>
        </w:tc>
      </w:tr>
      <w:tr>
        <w:tc>
          <w:tcPr/>
          <w:p>
            <w:pPr>
              <w:pStyle w:val="Compact"/>
            </w:pPr>
            <w:r>
              <w:rPr>
                <w:b/>
                <w:bCs/>
              </w:rPr>
              <w:t xml:space="preserve">Airdrops / Protocol Incentives</w:t>
            </w:r>
          </w:p>
        </w:tc>
        <w:tc>
          <w:tcPr/>
          <w:p>
            <w:pPr>
              <w:pStyle w:val="Compact"/>
            </w:pPr>
            <w:r>
              <w:t xml:space="preserve">Sporadic token drops from new projects (snapshots of ETH holders) or DeFi launch rewards.</w:t>
            </w:r>
          </w:p>
        </w:tc>
        <w:tc>
          <w:tcPr/>
          <w:p>
            <w:pPr>
              <w:pStyle w:val="Compact"/>
            </w:pPr>
            <w:r>
              <w:t xml:space="preserve">Discrete events (weeks–months)</w:t>
            </w:r>
          </w:p>
        </w:tc>
        <w:tc>
          <w:tcPr/>
          <w:p>
            <w:pPr>
              <w:pStyle w:val="Compact"/>
            </w:pPr>
            <w:r>
              <w:t xml:space="preserve">Opportunistic and irregular. High potential upside but non-recurring. Selection risk (eligibility criteria).</w:t>
            </w:r>
          </w:p>
        </w:tc>
        <w:tc>
          <w:tcPr/>
          <w:p>
            <w:pPr>
              <w:pStyle w:val="Compact"/>
            </w:pPr>
            <w:r>
              <w:t xml:space="preserve">Announcements (project blogs, snapshot sites), aggregator sites (DeFi Llama, CoinGecko airdrops).</w:t>
            </w:r>
          </w:p>
        </w:tc>
        <w:tc>
          <w:tcPr/>
          <w:p>
            <w:pPr>
              <w:pStyle w:val="Compact"/>
            </w:pPr>
            <w:r>
              <w:t xml:space="preserve">Example: Uniswap airdrop (Sep 2020) gave ~400 UNI (~$3,000) to early ETH users. No steady rate.</w:t>
            </w:r>
          </w:p>
        </w:tc>
      </w:tr>
      <w:tr>
        <w:tc>
          <w:tcPr/>
          <w:p>
            <w:pPr>
              <w:pStyle w:val="Compact"/>
            </w:pPr>
            <w:r>
              <w:rPr>
                <w:b/>
                <w:bCs/>
              </w:rPr>
              <w:t xml:space="preserve">Tokenomics Inflation</w:t>
            </w:r>
          </w:p>
        </w:tc>
        <w:tc>
          <w:tcPr/>
          <w:p>
            <w:pPr>
              <w:pStyle w:val="Compact"/>
            </w:pPr>
            <w:r>
              <w:t xml:space="preserve">Net ETH supply change: new issuance minus EIP-1559 burn.</w:t>
            </w:r>
          </w:p>
        </w:tc>
        <w:tc>
          <w:tcPr/>
          <w:p>
            <w:pPr>
              <w:pStyle w:val="Compact"/>
            </w:pPr>
            <w:r>
              <w:t xml:space="preserve">Continuous (annualized)</w:t>
            </w:r>
          </w:p>
        </w:tc>
        <w:tc>
          <w:tcPr/>
          <w:p>
            <w:pPr>
              <w:pStyle w:val="Compact"/>
            </w:pPr>
            <w:r>
              <w:t xml:space="preserve">Generally low inflation (~0.35% p.a.</w:t>
            </w:r>
            <w:hyperlink r:id="rId35">
              <w:r>
                <w:rPr>
                  <w:rStyle w:val="Hyperlink"/>
                </w:rPr>
                <w:t xml:space="preserve">[13]</w:t>
              </w:r>
            </w:hyperlink>
            <w:r>
              <w:t xml:space="preserve">). Can be deflationary if burn &gt; issuance. Inflation dilutes holders.</w:t>
            </w:r>
          </w:p>
        </w:tc>
        <w:tc>
          <w:tcPr/>
          <w:p>
            <w:pPr>
              <w:pStyle w:val="Compact"/>
            </w:pPr>
            <w:r>
              <w:t xml:space="preserve">Etherscan chain stats, Coin Metrics (inflation rate).</w:t>
            </w:r>
          </w:p>
        </w:tc>
        <w:tc>
          <w:tcPr/>
          <w:p>
            <w:pPr>
              <w:pStyle w:val="Compact"/>
            </w:pPr>
            <w:r>
              <w:t xml:space="preserve">Recent net issuance ~0.35%/yr</w:t>
            </w:r>
            <w:hyperlink r:id="rId35">
              <w:r>
                <w:rPr>
                  <w:rStyle w:val="Hyperlink"/>
                </w:rPr>
                <w:t xml:space="preserve">[13]</w:t>
              </w:r>
            </w:hyperlink>
            <w:r>
              <w:t xml:space="preserve">; some years (2023–2024) experienced net deflation due to high fee burns.</w:t>
            </w:r>
          </w:p>
        </w:tc>
      </w:tr>
      <w:tr>
        <w:tc>
          <w:tcPr/>
          <w:p>
            <w:pPr>
              <w:pStyle w:val="Compact"/>
            </w:pPr>
            <w:r>
              <w:rPr>
                <w:b/>
                <w:bCs/>
              </w:rPr>
              <w:t xml:space="preserve">Liquidity Mining / Yield Farming</w:t>
            </w:r>
          </w:p>
        </w:tc>
        <w:tc>
          <w:tcPr/>
          <w:p>
            <w:pPr>
              <w:pStyle w:val="Compact"/>
            </w:pPr>
            <w:r>
              <w:t xml:space="preserve">DeFi protocols reward LPs/traders with tokens (e.g. UNI, AAVE) for staking ETH in pools.</w:t>
            </w:r>
          </w:p>
        </w:tc>
        <w:tc>
          <w:tcPr/>
          <w:p>
            <w:pPr>
              <w:pStyle w:val="Compact"/>
            </w:pPr>
            <w:r>
              <w:t xml:space="preserve">Continuous (daily accrual)</w:t>
            </w:r>
          </w:p>
        </w:tc>
        <w:tc>
          <w:tcPr/>
          <w:p>
            <w:pPr>
              <w:pStyle w:val="Compact"/>
            </w:pPr>
            <w:r>
              <w:t xml:space="preserve">High yields but volatile: APR can be 5–100% initially. Risks: impermanent loss, smart-contract hacks.</w:t>
            </w:r>
          </w:p>
        </w:tc>
        <w:tc>
          <w:tcPr/>
          <w:p>
            <w:pPr>
              <w:pStyle w:val="Compact"/>
            </w:pPr>
            <w:r>
              <w:t xml:space="preserve">Protocol APIs (Uniswap, Curve, Sushi), DeFi Pulse, DefiLlama.</w:t>
            </w:r>
          </w:p>
        </w:tc>
        <w:tc>
          <w:tcPr/>
          <w:p>
            <w:pPr>
              <w:pStyle w:val="Compact"/>
            </w:pPr>
            <w:r>
              <w:t xml:space="preserve">Typical LP APRs run from a few percent to double-digits when incentives are high. Highly variable over time (e.g. ranged ~10–50% for early AMMs in 2020–22).</w:t>
            </w:r>
          </w:p>
        </w:tc>
      </w:tr>
      <w:tr>
        <w:tc>
          <w:tcPr/>
          <w:p>
            <w:pPr>
              <w:pStyle w:val="Compact"/>
            </w:pPr>
            <w:r>
              <w:rPr>
                <w:b/>
                <w:bCs/>
              </w:rPr>
              <w:t xml:space="preserve">Lending Interest</w:t>
            </w:r>
          </w:p>
        </w:tc>
        <w:tc>
          <w:tcPr/>
          <w:p>
            <w:pPr>
              <w:pStyle w:val="Compact"/>
            </w:pPr>
            <w:r>
              <w:t xml:space="preserve">ETH deposited as collateral or loaned in lending platforms (Aave, Compound).</w:t>
            </w:r>
          </w:p>
        </w:tc>
        <w:tc>
          <w:tcPr/>
          <w:p>
            <w:pPr>
              <w:pStyle w:val="Compact"/>
            </w:pPr>
            <w:r>
              <w:t xml:space="preserve">Continuous (hourly/daily APY)</w:t>
            </w:r>
          </w:p>
        </w:tc>
        <w:tc>
          <w:tcPr/>
          <w:p>
            <w:pPr>
              <w:pStyle w:val="Compact"/>
            </w:pPr>
            <w:r>
              <w:t xml:space="preserve">Moderate rates, set by supply-demand. Risk of borrower default or protocol failure.</w:t>
            </w:r>
          </w:p>
        </w:tc>
        <w:tc>
          <w:tcPr/>
          <w:p>
            <w:pPr>
              <w:pStyle w:val="Compact"/>
            </w:pPr>
            <w:r>
              <w:t xml:space="preserve">DeFi lending APIs, on-chain contracts, CoinGecko rates.</w:t>
            </w:r>
          </w:p>
        </w:tc>
        <w:tc>
          <w:tcPr/>
          <w:p>
            <w:pPr>
              <w:pStyle w:val="Compact"/>
            </w:pPr>
            <w:r>
              <w:t xml:space="preserve">For ETH: Aave/Compound borrow rates ~3–5% (2024), deposit (lend) rates ~1–3%. Fluctuates with crypto volatility.</w:t>
            </w:r>
          </w:p>
        </w:tc>
      </w:tr>
      <w:tr>
        <w:tc>
          <w:tcPr/>
          <w:p>
            <w:pPr>
              <w:pStyle w:val="Compact"/>
            </w:pPr>
            <w:r>
              <w:rPr>
                <w:b/>
                <w:bCs/>
              </w:rPr>
              <w:t xml:space="preserve">Governance Rewards</w:t>
            </w:r>
          </w:p>
        </w:tc>
        <w:tc>
          <w:tcPr/>
          <w:p>
            <w:pPr>
              <w:pStyle w:val="Compact"/>
            </w:pPr>
            <w:r>
              <w:t xml:space="preserve">(Ethereum itself has no native governance token rewards; for completeness) Occasionally some projects reward governance participation (airdrop or staking rewards for governance token holders).</w:t>
            </w:r>
          </w:p>
        </w:tc>
        <w:tc>
          <w:tcPr/>
          <w:p>
            <w:pPr>
              <w:pStyle w:val="Compact"/>
            </w:pPr>
            <w:r>
              <w:t xml:space="preserve">Event-driven</w:t>
            </w:r>
          </w:p>
        </w:tc>
        <w:tc>
          <w:tcPr/>
          <w:p>
            <w:pPr>
              <w:pStyle w:val="Compact"/>
            </w:pPr>
            <w:r>
              <w:t xml:space="preserve">Typically minor relative to other streams; not a consistent ETH return.</w:t>
            </w:r>
          </w:p>
        </w:tc>
        <w:tc>
          <w:tcPr/>
          <w:p>
            <w:pPr>
              <w:pStyle w:val="Compact"/>
            </w:pPr>
            <w:r>
              <w:t xml:space="preserve">Project protocols (rare).</w:t>
            </w:r>
          </w:p>
        </w:tc>
        <w:tc>
          <w:tcPr/>
          <w:p>
            <w:pPr>
              <w:pStyle w:val="Compact"/>
            </w:pPr>
            <w:r>
              <w:t xml:space="preserve">Generally negligible for core ETH; omit quantitative stat.</w:t>
            </w:r>
          </w:p>
        </w:tc>
      </w:tr>
      <w:tr>
        <w:tc>
          <w:tcPr/>
          <w:p>
            <w:pPr>
              <w:pStyle w:val="Compact"/>
            </w:pPr>
            <w:r>
              <w:rPr>
                <w:b/>
                <w:bCs/>
              </w:rPr>
              <w:t xml:space="preserve">Price Appreciation</w:t>
            </w:r>
          </w:p>
        </w:tc>
        <w:tc>
          <w:tcPr/>
          <w:p>
            <w:pPr>
              <w:pStyle w:val="Compact"/>
            </w:pPr>
            <w:r>
              <w:t xml:space="preserve">Market supply-demand, speculation, macro factors.</w:t>
            </w:r>
          </w:p>
        </w:tc>
        <w:tc>
          <w:tcPr/>
          <w:p>
            <w:pPr>
              <w:pStyle w:val="Compact"/>
            </w:pPr>
            <w:r>
              <w:t xml:space="preserve">Continuous (daily volatility)</w:t>
            </w:r>
          </w:p>
        </w:tc>
        <w:tc>
          <w:tcPr/>
          <w:p>
            <w:pPr>
              <w:pStyle w:val="Compact"/>
            </w:pPr>
            <w:r>
              <w:t xml:space="preserve">Highest volatility (historical 30–60% annual SD). Systemic risk (market crashes) and tail risk.</w:t>
            </w:r>
          </w:p>
        </w:tc>
        <w:tc>
          <w:tcPr/>
          <w:p>
            <w:pPr>
              <w:pStyle w:val="Compact"/>
            </w:pPr>
            <w:r>
              <w:t xml:space="preserve">Exchanges, market data (CoinGecko, CoinMarketCap).</w:t>
            </w:r>
          </w:p>
        </w:tc>
        <w:tc>
          <w:tcPr/>
          <w:p>
            <w:pPr>
              <w:pStyle w:val="Compact"/>
            </w:pPr>
            <w:r>
              <w:t xml:space="preserve">ETH price changes: e.g. +500% (2020–21), –50% (2022); very regime-dependent.</w:t>
            </w:r>
          </w:p>
        </w:tc>
      </w:tr>
    </w:tbl>
    <w:p>
      <w:pPr>
        <w:pStyle w:val="BodyText"/>
      </w:pPr>
      <w:r>
        <w:rPr>
          <w:i/>
          <w:iCs/>
        </w:rPr>
        <w:t xml:space="preserve">Table 1: Comparison of Ethereum return streams. Data sources include on-chain explorers (e.g. Etherscan, BeaconChain), analytics platforms (Coin Metrics, Glassnode, DeFiLlama), and academic/industry reports. For example, Ethereum’s average transaction fee fell from &gt;$24 in Feb 2021 to ~$0.76 by Feb 2025</w:t>
      </w:r>
      <w:hyperlink r:id="rId36">
        <w:r>
          <w:rPr>
            <w:rStyle w:val="Hyperlink"/>
            <w:i/>
            <w:iCs/>
          </w:rPr>
          <w:t xml:space="preserve">[14]</w:t>
        </w:r>
      </w:hyperlink>
      <w:r>
        <w:rPr>
          <w:i/>
          <w:iCs/>
        </w:rPr>
        <w:t xml:space="preserve">, and base staking yield is ~3% nominal</w:t>
      </w:r>
      <w:hyperlink r:id="rId35">
        <w:r>
          <w:rPr>
            <w:rStyle w:val="Hyperlink"/>
            <w:i/>
            <w:iCs/>
          </w:rPr>
          <w:t xml:space="preserve">[13]</w:t>
        </w:r>
      </w:hyperlink>
      <w:r>
        <w:rPr>
          <w:i/>
          <w:iCs/>
        </w:rPr>
        <w:t xml:space="preserve"> </w:t>
      </w:r>
      <w:r>
        <w:rPr>
          <w:i/>
          <w:iCs/>
        </w:rPr>
        <w:t xml:space="preserve">(2.73% real).</w:t>
      </w:r>
    </w:p>
    <w:p>
      <w:pPr>
        <w:pStyle w:val="BodyText"/>
      </w:pPr>
      <w:r>
        <w:t xml:space="preserve">Each stream has distinct drivers and risks.</w:t>
      </w:r>
      <w:r>
        <w:t xml:space="preserve"> </w:t>
      </w:r>
      <w:r>
        <w:rPr>
          <w:b/>
          <w:bCs/>
        </w:rPr>
        <w:t xml:space="preserve">Staking rewards</w:t>
      </w:r>
      <w:r>
        <w:t xml:space="preserve"> </w:t>
      </w:r>
      <w:r>
        <w:t xml:space="preserve">(validator block rewards) provide a stable baseline return (~2–4% APY) and are easily computed from beacon-chain data</w:t>
      </w:r>
      <w:hyperlink r:id="rId35">
        <w:r>
          <w:rPr>
            <w:rStyle w:val="Hyperlink"/>
          </w:rPr>
          <w:t xml:space="preserve">[13]</w:t>
        </w:r>
      </w:hyperlink>
      <w:r>
        <w:t xml:space="preserve">.</w:t>
      </w:r>
      <w:r>
        <w:t xml:space="preserve"> </w:t>
      </w:r>
      <w:r>
        <w:rPr>
          <w:b/>
          <w:bCs/>
        </w:rPr>
        <w:t xml:space="preserve">Transaction fees and MEV</w:t>
      </w:r>
      <w:r>
        <w:t xml:space="preserve"> </w:t>
      </w:r>
      <w:r>
        <w:t xml:space="preserve">depend on network congestion and DeFi activity; they can spike (e.g. 2021) or collapse in quiet periods</w:t>
      </w:r>
      <w:hyperlink r:id="rId36">
        <w:r>
          <w:rPr>
            <w:rStyle w:val="Hyperlink"/>
          </w:rPr>
          <w:t xml:space="preserve">[14]</w:t>
        </w:r>
      </w:hyperlink>
      <w:hyperlink r:id="rId37">
        <w:r>
          <w:rPr>
            <w:rStyle w:val="Hyperlink"/>
          </w:rPr>
          <w:t xml:space="preserve">[15]</w:t>
        </w:r>
      </w:hyperlink>
      <w:r>
        <w:t xml:space="preserve">.</w:t>
      </w:r>
      <w:r>
        <w:t xml:space="preserve"> </w:t>
      </w:r>
      <w:r>
        <w:rPr>
          <w:b/>
          <w:bCs/>
        </w:rPr>
        <w:t xml:space="preserve">Airdrops</w:t>
      </w:r>
      <w:r>
        <w:t xml:space="preserve"> </w:t>
      </w:r>
      <w:r>
        <w:t xml:space="preserve">and</w:t>
      </w:r>
      <w:r>
        <w:t xml:space="preserve"> </w:t>
      </w:r>
      <w:r>
        <w:rPr>
          <w:b/>
          <w:bCs/>
        </w:rPr>
        <w:t xml:space="preserve">liquidity mining</w:t>
      </w:r>
      <w:r>
        <w:t xml:space="preserve"> </w:t>
      </w:r>
      <w:r>
        <w:t xml:space="preserve">are idiosyncratic: they can yield large one-time payoffs but come with high protocol and timing risk.</w:t>
      </w:r>
      <w:r>
        <w:t xml:space="preserve"> </w:t>
      </w:r>
      <w:r>
        <w:rPr>
          <w:b/>
          <w:bCs/>
        </w:rPr>
        <w:t xml:space="preserve">Token inflation</w:t>
      </w:r>
      <w:r>
        <w:t xml:space="preserve"> </w:t>
      </w:r>
      <w:r>
        <w:t xml:space="preserve">slowly erodes nominal returns (currently ~0.35%/yr) but heavy fee burns can offset this.</w:t>
      </w:r>
      <w:r>
        <w:t xml:space="preserve"> </w:t>
      </w:r>
      <w:r>
        <w:rPr>
          <w:b/>
          <w:bCs/>
        </w:rPr>
        <w:t xml:space="preserve">Lending rates</w:t>
      </w:r>
      <w:r>
        <w:t xml:space="preserve"> </w:t>
      </w:r>
      <w:r>
        <w:t xml:space="preserve">fluctuate with short-term demand. Finally,</w:t>
      </w:r>
      <w:r>
        <w:t xml:space="preserve"> </w:t>
      </w:r>
      <w:r>
        <w:rPr>
          <w:b/>
          <w:bCs/>
        </w:rPr>
        <w:t xml:space="preserve">price moves</w:t>
      </w:r>
      <w:r>
        <w:t xml:space="preserve"> </w:t>
      </w:r>
      <w:r>
        <w:t xml:space="preserve">often dominate total returns but are extremely volatile. Importantly, all these streams are measurable through blockchain and DeFi data: e.g. Ethereum’s staking yield and inflation are tracked by CoinMetrics, while transaction fees are recorded per block</w:t>
      </w:r>
      <w:hyperlink r:id="rId35">
        <w:r>
          <w:rPr>
            <w:rStyle w:val="Hyperlink"/>
          </w:rPr>
          <w:t xml:space="preserve">[13]</w:t>
        </w:r>
      </w:hyperlink>
      <w:hyperlink r:id="rId36">
        <w:r>
          <w:rPr>
            <w:rStyle w:val="Hyperlink"/>
          </w:rPr>
          <w:t xml:space="preserve">[14]</w:t>
        </w:r>
      </w:hyperlink>
      <w:r>
        <w:t xml:space="preserve">.</w:t>
      </w:r>
    </w:p>
    <w:bookmarkEnd w:id="38"/>
    <w:bookmarkStart w:id="39" w:name="system-architecture"/>
    <w:p>
      <w:pPr>
        <w:pStyle w:val="Heading2"/>
      </w:pPr>
      <w:r>
        <w:t xml:space="preserve">3. System Architecture</w:t>
      </w:r>
    </w:p>
    <w:p>
      <w:pPr>
        <w:pStyle w:val="FirstParagraph"/>
      </w:pPr>
      <w:r>
        <w:t xml:space="preserve">We propose a modular architecture (Figure 1) for the self-adaptive investment system. Key components include:</w:t>
      </w:r>
    </w:p>
    <w:p>
      <w:pPr>
        <w:pStyle w:val="Compact"/>
        <w:numPr>
          <w:ilvl w:val="0"/>
          <w:numId w:val="1001"/>
        </w:numPr>
      </w:pPr>
      <w:r>
        <w:rPr>
          <w:b/>
          <w:bCs/>
        </w:rPr>
        <w:t xml:space="preserve">Data Pipeline:</w:t>
      </w:r>
      <w:r>
        <w:t xml:space="preserve"> </w:t>
      </w:r>
      <w:r>
        <w:t xml:space="preserve">Ingest on-chain and market data (blockchain explorers, DeFi protocols, price feeds, macro indicators). Clean and store in a time-series database for analysis. Ensure low-latency data flows for real-time decisions.</w:t>
      </w:r>
    </w:p>
    <w:p>
      <w:pPr>
        <w:pStyle w:val="Compact"/>
        <w:numPr>
          <w:ilvl w:val="0"/>
          <w:numId w:val="1001"/>
        </w:numPr>
      </w:pPr>
      <w:r>
        <w:rPr>
          <w:b/>
          <w:bCs/>
        </w:rPr>
        <w:t xml:space="preserve">Feature/Factor Engineering:</w:t>
      </w:r>
      <w:r>
        <w:t xml:space="preserve"> </w:t>
      </w:r>
      <w:r>
        <w:t xml:space="preserve">Compute factors and signals from raw data (technical indicators, fundamental metrics, blockchain-specific features like network utilization, wallet flows). Decompose returns by stream (as above) and construct factor returns.</w:t>
      </w:r>
    </w:p>
    <w:p>
      <w:pPr>
        <w:pStyle w:val="Compact"/>
        <w:numPr>
          <w:ilvl w:val="0"/>
          <w:numId w:val="1001"/>
        </w:numPr>
      </w:pPr>
      <w:r>
        <w:rPr>
          <w:b/>
          <w:bCs/>
        </w:rPr>
        <w:t xml:space="preserve">Risk Model:</w:t>
      </w:r>
      <w:r>
        <w:t xml:space="preserve"> </w:t>
      </w:r>
      <w:r>
        <w:t xml:space="preserve">Estimate covariance and higher moments of the multi-stream factors (possibly via shrinking covariance, factor models, or regime-specific covariances). Include stress-test scenarios (volatility spikes, regime shifts).</w:t>
      </w:r>
    </w:p>
    <w:p>
      <w:pPr>
        <w:pStyle w:val="Compact"/>
        <w:numPr>
          <w:ilvl w:val="0"/>
          <w:numId w:val="1001"/>
        </w:numPr>
      </w:pPr>
      <w:r>
        <w:rPr>
          <w:b/>
          <w:bCs/>
        </w:rPr>
        <w:t xml:space="preserve">Allocation Engine:</w:t>
      </w:r>
      <w:r>
        <w:t xml:space="preserve"> </w:t>
      </w:r>
      <w:r>
        <w:t xml:space="preserve">Solve portfolio weights among assets or strategies. Could use mean-variance/quadratic optimization, robust/minimax approaches, or other risk-parity frameworks. Incorporate constraints (leverage, drawdown limits).</w:t>
      </w:r>
    </w:p>
    <w:p>
      <w:pPr>
        <w:pStyle w:val="Compact"/>
        <w:numPr>
          <w:ilvl w:val="0"/>
          <w:numId w:val="1001"/>
        </w:numPr>
      </w:pPr>
      <w:r>
        <w:rPr>
          <w:b/>
          <w:bCs/>
        </w:rPr>
        <w:t xml:space="preserve">AI Parameter Tuner:</w:t>
      </w:r>
      <w:r>
        <w:t xml:space="preserve"> </w:t>
      </w:r>
      <w:r>
        <w:t xml:space="preserve">An online learning layer that tunes model/hyperparameters and strategy weights. This may be a reinforcement learning agent, contextual bandit, or meta-learning system that adjusts factor exposures or execution policies based on observed performance and changing environments.</w:t>
      </w:r>
    </w:p>
    <w:p>
      <w:pPr>
        <w:pStyle w:val="Compact"/>
        <w:numPr>
          <w:ilvl w:val="0"/>
          <w:numId w:val="1001"/>
        </w:numPr>
      </w:pPr>
      <w:r>
        <w:rPr>
          <w:b/>
          <w:bCs/>
        </w:rPr>
        <w:t xml:space="preserve">Execution Layer:</w:t>
      </w:r>
      <w:r>
        <w:t xml:space="preserve"> </w:t>
      </w:r>
      <w:r>
        <w:t xml:space="preserve">Interface with exchanges and on-chain operations. Converts target allocations into trades or staking/deFi actions, considering transaction costs, order book liquidity, gas fees, and rate limits.</w:t>
      </w:r>
    </w:p>
    <w:p>
      <w:pPr>
        <w:pStyle w:val="Compact"/>
        <w:numPr>
          <w:ilvl w:val="0"/>
          <w:numId w:val="1001"/>
        </w:numPr>
      </w:pPr>
      <w:r>
        <w:rPr>
          <w:b/>
          <w:bCs/>
        </w:rPr>
        <w:t xml:space="preserve">Monitoring and Governance:</w:t>
      </w:r>
      <w:r>
        <w:t xml:space="preserve"> </w:t>
      </w:r>
      <w:r>
        <w:t xml:space="preserve">Continuously track performance, risk metrics, model drift, and alerts. Provide dashboards and logging. Implement safe-exploration guards (e.g. position limits or risk budgets). Human oversight and interpretability are crucial for governance and compliance.</w:t>
      </w:r>
    </w:p>
    <w:p>
      <w:pPr>
        <w:pStyle w:val="FirstParagraph"/>
      </w:pPr>
      <w:r>
        <w:t xml:space="preserve">A high-level system diagram is shown below:</w:t>
      </w:r>
    </w:p>
    <w:p>
      <w:pPr>
        <w:pStyle w:val="SourceCode"/>
      </w:pPr>
      <w:r>
        <w:rPr>
          <w:rStyle w:val="VerbatimChar"/>
        </w:rPr>
        <w:t xml:space="preserve">flowchart LR</w:t>
      </w:r>
      <w:r>
        <w:br/>
      </w:r>
      <w:r>
        <w:rPr>
          <w:rStyle w:val="VerbatimChar"/>
        </w:rPr>
        <w:t xml:space="preserve">    subgraph Data_Pipeline</w:t>
      </w:r>
      <w:r>
        <w:br/>
      </w:r>
      <w:r>
        <w:rPr>
          <w:rStyle w:val="VerbatimChar"/>
        </w:rPr>
        <w:t xml:space="preserve">        A[Market and On-Chain Data] --&gt; B[Data Preprocessing &amp; Storage]</w:t>
      </w:r>
      <w:r>
        <w:br/>
      </w:r>
      <w:r>
        <w:rPr>
          <w:rStyle w:val="VerbatimChar"/>
        </w:rPr>
        <w:t xml:space="preserve">        B --&gt; C[Feature Engineering &amp; Factors]</w:t>
      </w:r>
      <w:r>
        <w:br/>
      </w:r>
      <w:r>
        <w:rPr>
          <w:rStyle w:val="VerbatimChar"/>
        </w:rPr>
        <w:t xml:space="preserve">        C --&gt; D[Factor &amp; Return-Stream Library]</w:t>
      </w:r>
      <w:r>
        <w:br/>
      </w:r>
      <w:r>
        <w:rPr>
          <w:rStyle w:val="VerbatimChar"/>
        </w:rPr>
        <w:t xml:space="preserve">    end</w:t>
      </w:r>
      <w:r>
        <w:br/>
      </w:r>
      <w:r>
        <w:rPr>
          <w:rStyle w:val="VerbatimChar"/>
        </w:rPr>
        <w:t xml:space="preserve">    subgraph Modeling</w:t>
      </w:r>
      <w:r>
        <w:br/>
      </w:r>
      <w:r>
        <w:rPr>
          <w:rStyle w:val="VerbatimChar"/>
        </w:rPr>
        <w:t xml:space="preserve">        D --&gt; E[Risk Model (Covariance, Stress)]</w:t>
      </w:r>
      <w:r>
        <w:br/>
      </w:r>
      <w:r>
        <w:rPr>
          <w:rStyle w:val="VerbatimChar"/>
        </w:rPr>
        <w:t xml:space="preserve">        E --&gt; F[Portfolio Allocation Engine]</w:t>
      </w:r>
      <w:r>
        <w:br/>
      </w:r>
      <w:r>
        <w:rPr>
          <w:rStyle w:val="VerbatimChar"/>
        </w:rPr>
        <w:t xml:space="preserve">        F --&gt; G[AI Parameter Tuner (RL/Bandit)]</w:t>
      </w:r>
      <w:r>
        <w:br/>
      </w:r>
      <w:r>
        <w:rPr>
          <w:rStyle w:val="VerbatimChar"/>
        </w:rPr>
        <w:t xml:space="preserve">    end</w:t>
      </w:r>
      <w:r>
        <w:br/>
      </w:r>
      <w:r>
        <w:rPr>
          <w:rStyle w:val="VerbatimChar"/>
        </w:rPr>
        <w:t xml:space="preserve">    subgraph Execution</w:t>
      </w:r>
      <w:r>
        <w:br/>
      </w:r>
      <w:r>
        <w:rPr>
          <w:rStyle w:val="VerbatimChar"/>
        </w:rPr>
        <w:t xml:space="preserve">        G --&gt; H[Execution System (Trades, Staking, DeFi)]</w:t>
      </w:r>
      <w:r>
        <w:br/>
      </w:r>
      <w:r>
        <w:rPr>
          <w:rStyle w:val="VerbatimChar"/>
        </w:rPr>
        <w:t xml:space="preserve">    end</w:t>
      </w:r>
      <w:r>
        <w:br/>
      </w:r>
      <w:r>
        <w:rPr>
          <w:rStyle w:val="VerbatimChar"/>
        </w:rPr>
        <w:t xml:space="preserve">    subgraph Monitoring</w:t>
      </w:r>
      <w:r>
        <w:br/>
      </w:r>
      <w:r>
        <w:rPr>
          <w:rStyle w:val="VerbatimChar"/>
        </w:rPr>
        <w:t xml:space="preserve">        H --&gt; I[Performance &amp; Risk Monitoring]</w:t>
      </w:r>
      <w:r>
        <w:br/>
      </w:r>
      <w:r>
        <w:rPr>
          <w:rStyle w:val="VerbatimChar"/>
        </w:rPr>
        <w:t xml:space="preserve">        I --&gt; G</w:t>
      </w:r>
      <w:r>
        <w:br/>
      </w:r>
      <w:r>
        <w:rPr>
          <w:rStyle w:val="VerbatimChar"/>
        </w:rPr>
        <w:t xml:space="preserve">    end</w:t>
      </w:r>
      <w:r>
        <w:br/>
      </w:r>
      <w:r>
        <w:rPr>
          <w:rStyle w:val="VerbatimChar"/>
        </w:rPr>
        <w:t xml:space="preserve">    B --&gt; K[Historical Data Archive]</w:t>
      </w:r>
      <w:r>
        <w:br/>
      </w:r>
      <w:r>
        <w:rPr>
          <w:rStyle w:val="VerbatimChar"/>
        </w:rPr>
        <w:t xml:space="preserve">    K --&gt; C</w:t>
      </w:r>
      <w:r>
        <w:br/>
      </w:r>
      <w:r>
        <w:rPr>
          <w:rStyle w:val="VerbatimChar"/>
        </w:rPr>
        <w:t xml:space="preserve">    A --&gt; K</w:t>
      </w:r>
    </w:p>
    <w:p>
      <w:pPr>
        <w:pStyle w:val="FirstParagraph"/>
      </w:pPr>
      <w:r>
        <w:rPr>
          <w:b/>
          <w:bCs/>
        </w:rPr>
        <w:t xml:space="preserve">Figure 1:</w:t>
      </w:r>
      <w:r>
        <w:t xml:space="preserve"> </w:t>
      </w:r>
      <w:r>
        <w:t xml:space="preserve">Modular architecture (data, modeling, execution, monitoring). Arrows indicate data/control flows. Feedback from monitoring informs the AI tuner. Data pipelines feed both real-time and historical analysis.</w:t>
      </w:r>
    </w:p>
    <w:p>
      <w:pPr>
        <w:pStyle w:val="BodyText"/>
      </w:pPr>
      <w:r>
        <w:t xml:space="preserve">In practice, each module may consist of multiple services/microservices. For example, the</w:t>
      </w:r>
      <w:r>
        <w:t xml:space="preserve"> </w:t>
      </w:r>
      <w:r>
        <w:rPr>
          <w:b/>
          <w:bCs/>
        </w:rPr>
        <w:t xml:space="preserve">Data Pipeline</w:t>
      </w:r>
      <w:r>
        <w:t xml:space="preserve"> </w:t>
      </w:r>
      <w:r>
        <w:t xml:space="preserve">may gather (a) on-chain data via blockchain node APIs or The Graph, (b) DeFi protocol data via on-chain queries or off-chain APIs, (c) traditional market data (prices, rates) via data vendors (CCXT, Bloombergs).</w:t>
      </w:r>
      <w:r>
        <w:t xml:space="preserve"> </w:t>
      </w:r>
      <w:r>
        <w:rPr>
          <w:b/>
          <w:bCs/>
        </w:rPr>
        <w:t xml:space="preserve">Feature engineering</w:t>
      </w:r>
      <w:r>
        <w:t xml:space="preserve"> </w:t>
      </w:r>
      <w:r>
        <w:t xml:space="preserve">must handle irregular timestamps (block times) and interleave traditional and blockchain features.</w:t>
      </w:r>
      <w:r>
        <w:t xml:space="preserve"> </w:t>
      </w:r>
      <w:r>
        <w:rPr>
          <w:b/>
          <w:bCs/>
        </w:rPr>
        <w:t xml:space="preserve">Latency and costs:</w:t>
      </w:r>
      <w:r>
        <w:t xml:space="preserve"> </w:t>
      </w:r>
      <w:r>
        <w:t xml:space="preserve">On-chain orders have block-time delays and gas costs; the system must simulate these in strategy logic. Fast execution (e.g. MEV extraction) may require co-location or special APIs (Flashbots).</w:t>
      </w:r>
    </w:p>
    <w:bookmarkEnd w:id="39"/>
    <w:bookmarkStart w:id="43" w:name="modeling-approaches"/>
    <w:p>
      <w:pPr>
        <w:pStyle w:val="Heading2"/>
      </w:pPr>
      <w:r>
        <w:t xml:space="preserve">4. Modeling Approaches</w:t>
      </w:r>
    </w:p>
    <w:p>
      <w:pPr>
        <w:pStyle w:val="FirstParagraph"/>
      </w:pPr>
      <w:r>
        <w:rPr>
          <w:b/>
          <w:bCs/>
        </w:rPr>
        <w:t xml:space="preserve">Factor Models:</w:t>
      </w:r>
      <w:r>
        <w:t xml:space="preserve"> </w:t>
      </w:r>
      <w:r>
        <w:t xml:space="preserve">Candidate models range from simple linear factor models to complex nonparametric ones. Traditional linear models (CAPM, multi-factor regressions) are straightforward but may miss nonlinearities. Nonlinear machine-learning models (decision trees, gradient boosting, neural networks) can capture complex factor interactions but risk overfitting. Hierarchical Bayesian factor models can share statistical strength across related assets or regimes, providing shrinkage and handling uncertainty in parameters. State-space and regime models (e.g. Kalman filters, hidden Markov switching) explicitly allow factors or betas to evolve over time or differ by latent regime. For example, a switching factor model can assign a probability to “bull” vs “bear” regime each day, with separate factor loadings, thus capturing cyclical patterns</w:t>
      </w:r>
      <w:hyperlink r:id="rId23">
        <w:r>
          <w:rPr>
            <w:rStyle w:val="Hyperlink"/>
          </w:rPr>
          <w:t xml:space="preserve">[2]</w:t>
        </w:r>
      </w:hyperlink>
      <w:hyperlink r:id="rId24">
        <w:r>
          <w:rPr>
            <w:rStyle w:val="Hyperlink"/>
          </w:rPr>
          <w:t xml:space="preserve">[3]</w:t>
        </w:r>
      </w:hyperlink>
      <w:r>
        <w:t xml:space="preserve">.</w:t>
      </w:r>
    </w:p>
    <w:p>
      <w:pPr>
        <w:pStyle w:val="BodyText"/>
      </w:pPr>
      <w:r>
        <w:rPr>
          <w:b/>
          <w:bCs/>
        </w:rPr>
        <w:t xml:space="preserve">Combining Heterogeneous Returns:</w:t>
      </w:r>
      <w:r>
        <w:t xml:space="preserve"> </w:t>
      </w:r>
      <w:r>
        <w:t xml:space="preserve">When multiple return streams exist, one approach is to model each stream separately (e.g. a forecasting model for fees, another for staking yield) and then aggregate. Another is to include stream identifiers as features in a unified model. Ensemble or mixture-of-experts methods can weigh different sub-models. Statistical models such as dynamic factor models or copulas may link streams. The key is acknowledging that e.g. ETH price returns are influenced by many of the other streams (staking yield can be viewed as a “carry” factor, fees/MEV as liquidity factors, etc.).</w:t>
      </w:r>
    </w:p>
    <w:p>
      <w:pPr>
        <w:pStyle w:val="BodyText"/>
      </w:pPr>
      <w:r>
        <w:rPr>
          <w:b/>
          <w:bCs/>
        </w:rPr>
        <w:t xml:space="preserve">Parameter Tuning Methods:</w:t>
      </w:r>
      <w:r>
        <w:br/>
      </w:r>
      <w:r>
        <w:t xml:space="preserve">-</w:t>
      </w:r>
      <w:r>
        <w:t xml:space="preserve"> </w:t>
      </w:r>
      <w:r>
        <w:rPr>
          <w:b/>
          <w:bCs/>
        </w:rPr>
        <w:t xml:space="preserve">Policy-Gradient Reinforcement Learning (RL):</w:t>
      </w:r>
      <w:r>
        <w:t xml:space="preserve"> </w:t>
      </w:r>
      <w:r>
        <w:t xml:space="preserve">Methods like PPO or Actor-Critic can treat portfolio rebalancing as an MDP, with the policy outputting allocation weights and a reward based on utility (e.g. risk-adjusted return). RL handles high-dimensional or nonlinear policies but usually needs large data/training (and care to prevent catastrophic drawdowns). Safe RL variants impose risk constraints in the reward or via action limits</w:t>
      </w:r>
      <w:hyperlink r:id="rId40">
        <w:r>
          <w:rPr>
            <w:rStyle w:val="Hyperlink"/>
          </w:rPr>
          <w:t xml:space="preserve">[16]</w:t>
        </w:r>
      </w:hyperlink>
      <w:hyperlink r:id="rId41">
        <w:r>
          <w:rPr>
            <w:rStyle w:val="Hyperlink"/>
          </w:rPr>
          <w:t xml:space="preserve">[17]</w:t>
        </w:r>
      </w:hyperlink>
      <w:r>
        <w:t xml:space="preserve">.</w:t>
      </w:r>
      <w:r>
        <w:br/>
      </w:r>
      <w:r>
        <w:t xml:space="preserve">-</w:t>
      </w:r>
      <w:r>
        <w:t xml:space="preserve"> </w:t>
      </w:r>
      <w:r>
        <w:rPr>
          <w:i/>
          <w:iCs/>
        </w:rPr>
        <w:t xml:space="preserve">Pros:</w:t>
      </w:r>
      <w:r>
        <w:t xml:space="preserve"> </w:t>
      </w:r>
      <w:r>
        <w:t xml:space="preserve">Learns complex adaptive policies, can incorporate regime signals.</w:t>
      </w:r>
      <w:r>
        <w:br/>
      </w:r>
      <w:r>
        <w:t xml:space="preserve">-</w:t>
      </w:r>
      <w:r>
        <w:t xml:space="preserve"> </w:t>
      </w:r>
      <w:r>
        <w:rPr>
          <w:i/>
          <w:iCs/>
        </w:rPr>
        <w:t xml:space="preserve">Cons:</w:t>
      </w:r>
      <w:r>
        <w:t xml:space="preserve"> </w:t>
      </w:r>
      <w:r>
        <w:t xml:space="preserve">Sample-inefficient (requires many training episodes), may be unstable or exploit backtest overfitting.</w:t>
      </w:r>
      <w:r>
        <w:br/>
      </w:r>
      <w:r>
        <w:t xml:space="preserve">-</w:t>
      </w:r>
      <w:r>
        <w:t xml:space="preserve"> </w:t>
      </w:r>
      <w:r>
        <w:rPr>
          <w:b/>
          <w:bCs/>
        </w:rPr>
        <w:t xml:space="preserve">Contextual Bandits:</w:t>
      </w:r>
      <w:r>
        <w:t xml:space="preserve"> </w:t>
      </w:r>
      <w:r>
        <w:t xml:space="preserve">These learn to choose among discrete strategies or factor-tilts based on current market context. For example, a bandit could switch between “momentum-heavy” vs “value-heavy” factor portfolios depending on regime features. Bandits update incrementally and balance exploration-exploitation. Ozkaya &amp; Wang (2020) show contextual bandits can</w:t>
      </w:r>
      <w:r>
        <w:t xml:space="preserve"> </w:t>
      </w:r>
      <w:r>
        <w:rPr>
          <w:i/>
          <w:iCs/>
        </w:rPr>
        <w:t xml:space="preserve">automate</w:t>
      </w:r>
      <w:r>
        <w:t xml:space="preserve"> </w:t>
      </w:r>
      <w:r>
        <w:t xml:space="preserve">portfolio choice and outperform static allocations when context is informative</w:t>
      </w:r>
      <w:hyperlink r:id="rId29">
        <w:r>
          <w:rPr>
            <w:rStyle w:val="Hyperlink"/>
          </w:rPr>
          <w:t xml:space="preserve">[8]</w:t>
        </w:r>
      </w:hyperlink>
      <w:r>
        <w:t xml:space="preserve">.</w:t>
      </w:r>
      <w:r>
        <w:br/>
      </w:r>
      <w:r>
        <w:t xml:space="preserve">-</w:t>
      </w:r>
      <w:r>
        <w:t xml:space="preserve"> </w:t>
      </w:r>
      <w:r>
        <w:rPr>
          <w:i/>
          <w:iCs/>
        </w:rPr>
        <w:t xml:space="preserve">Pros:</w:t>
      </w:r>
      <w:r>
        <w:t xml:space="preserve"> </w:t>
      </w:r>
      <w:r>
        <w:t xml:space="preserve">Generally more sample-efficient than full RL (fewer parameters), easier theoretical guarantees on regret.</w:t>
      </w:r>
      <w:r>
        <w:br/>
      </w:r>
      <w:r>
        <w:t xml:space="preserve">-</w:t>
      </w:r>
      <w:r>
        <w:t xml:space="preserve"> </w:t>
      </w:r>
      <w:r>
        <w:rPr>
          <w:i/>
          <w:iCs/>
        </w:rPr>
        <w:t xml:space="preserve">Cons:</w:t>
      </w:r>
      <w:r>
        <w:t xml:space="preserve"> </w:t>
      </w:r>
      <w:r>
        <w:t xml:space="preserve">Typically limited to selecting among predefined options (not continuous weights), still risk of poor early choices.</w:t>
      </w:r>
      <w:r>
        <w:br/>
      </w:r>
      <w:r>
        <w:t xml:space="preserve">-</w:t>
      </w:r>
      <w:r>
        <w:t xml:space="preserve"> </w:t>
      </w:r>
      <w:r>
        <w:rPr>
          <w:b/>
          <w:bCs/>
        </w:rPr>
        <w:t xml:space="preserve">Bayesian Optimization (BO):</w:t>
      </w:r>
      <w:r>
        <w:t xml:space="preserve"> </w:t>
      </w:r>
      <w:r>
        <w:t xml:space="preserve">Treating the portfolio/hyperparameter selection as a black-box optimization, BO (e.g. Gaussian Process or TPE-based) iteratively proposes parameter settings that maximize a reward (e.g. Sharpe)</w:t>
      </w:r>
      <w:hyperlink r:id="rId30">
        <w:r>
          <w:rPr>
            <w:rStyle w:val="Hyperlink"/>
          </w:rPr>
          <w:t xml:space="preserve">[9]</w:t>
        </w:r>
      </w:hyperlink>
      <w:r>
        <w:t xml:space="preserve">. BO is helpful when each evaluation (backtest) is costly. Z. You et al. (2025) introduce TPE-AS, an BO that also penalizes variance of Sharpe to stabilize tuning under limited budgets</w:t>
      </w:r>
      <w:hyperlink r:id="rId30">
        <w:r>
          <w:rPr>
            <w:rStyle w:val="Hyperlink"/>
          </w:rPr>
          <w:t xml:space="preserve">[9]</w:t>
        </w:r>
      </w:hyperlink>
      <w:r>
        <w:t xml:space="preserve">.</w:t>
      </w:r>
      <w:r>
        <w:br/>
      </w:r>
      <w:r>
        <w:t xml:space="preserve">-</w:t>
      </w:r>
      <w:r>
        <w:t xml:space="preserve"> </w:t>
      </w:r>
      <w:r>
        <w:rPr>
          <w:i/>
          <w:iCs/>
        </w:rPr>
        <w:t xml:space="preserve">Pros:</w:t>
      </w:r>
      <w:r>
        <w:t xml:space="preserve"> </w:t>
      </w:r>
      <w:r>
        <w:t xml:space="preserve">Sample-efficient for tuning hyperparameters; handles mixed-type parameters; can focus search in promising regions.</w:t>
      </w:r>
      <w:r>
        <w:br/>
      </w:r>
      <w:r>
        <w:t xml:space="preserve">-</w:t>
      </w:r>
      <w:r>
        <w:t xml:space="preserve"> </w:t>
      </w:r>
      <w:r>
        <w:rPr>
          <w:i/>
          <w:iCs/>
        </w:rPr>
        <w:t xml:space="preserve">Cons:</w:t>
      </w:r>
      <w:r>
        <w:t xml:space="preserve"> </w:t>
      </w:r>
      <w:r>
        <w:t xml:space="preserve">Generally offline (not continuously adapting), may converge slowly if space is high-dimensional; can be myopic if reward is noisy.</w:t>
      </w:r>
      <w:r>
        <w:br/>
      </w:r>
      <w:r>
        <w:t xml:space="preserve">-</w:t>
      </w:r>
      <w:r>
        <w:t xml:space="preserve"> </w:t>
      </w:r>
      <w:r>
        <w:rPr>
          <w:b/>
          <w:bCs/>
        </w:rPr>
        <w:t xml:space="preserve">Meta-Learning:</w:t>
      </w:r>
      <w:r>
        <w:t xml:space="preserve"> </w:t>
      </w:r>
      <w:r>
        <w:t xml:space="preserve">Methods like MAML aim to learn good initial parameters across many “tasks” (market conditions). As Shen et al. (2025) demonstrate, by meta-training on clusters of market regimes or strategy mixtures, the model can quickly fine-tune on new regime tasks</w:t>
      </w:r>
      <w:hyperlink r:id="rId31">
        <w:r>
          <w:rPr>
            <w:rStyle w:val="Hyperlink"/>
          </w:rPr>
          <w:t xml:space="preserve">[10]</w:t>
        </w:r>
      </w:hyperlink>
      <w:r>
        <w:t xml:space="preserve">. Mixture-of-experts meta-models allocate capital among specialist sub-policies.</w:t>
      </w:r>
      <w:r>
        <w:br/>
      </w:r>
      <w:r>
        <w:t xml:space="preserve">-</w:t>
      </w:r>
      <w:r>
        <w:t xml:space="preserve"> </w:t>
      </w:r>
      <w:r>
        <w:rPr>
          <w:i/>
          <w:iCs/>
        </w:rPr>
        <w:t xml:space="preserve">Pros:</w:t>
      </w:r>
      <w:r>
        <w:t xml:space="preserve"> </w:t>
      </w:r>
      <w:r>
        <w:t xml:space="preserve">Fast adaptation; leverages cross-period data; can improve sample-efficiency on new data.</w:t>
      </w:r>
      <w:r>
        <w:br/>
      </w:r>
      <w:r>
        <w:t xml:space="preserve">-</w:t>
      </w:r>
      <w:r>
        <w:t xml:space="preserve"> </w:t>
      </w:r>
      <w:r>
        <w:rPr>
          <w:i/>
          <w:iCs/>
        </w:rPr>
        <w:t xml:space="preserve">Cons:</w:t>
      </w:r>
      <w:r>
        <w:t xml:space="preserve"> </w:t>
      </w:r>
      <w:r>
        <w:t xml:space="preserve">Requires a distribution of tasks/regimes for meta-training; risk of negative transfer if market changes irreversibly; higher complexity.</w:t>
      </w:r>
    </w:p>
    <w:p>
      <w:pPr>
        <w:pStyle w:val="BodyText"/>
      </w:pPr>
      <w:r>
        <w:rPr>
          <w:b/>
          <w:bCs/>
        </w:rPr>
        <w:t xml:space="preserve">Trade-Offs:</w:t>
      </w:r>
      <w:r>
        <w:t xml:space="preserve"> </w:t>
      </w:r>
      <w:r>
        <w:t xml:space="preserve">RL offers flexibility but can overfit and suffer from reward hacking; bandits are simpler but more limited; BO is principled but slow to update. Hybrid approaches often emerge (e.g. an RL agent that uses BO to tune its own hyperparameters, or a bandit that chooses among RL agents). Model stability and</w:t>
      </w:r>
      <w:r>
        <w:t xml:space="preserve"> </w:t>
      </w:r>
      <w:r>
        <w:rPr>
          <w:i/>
          <w:iCs/>
        </w:rPr>
        <w:t xml:space="preserve">risk constraints</w:t>
      </w:r>
      <w:r>
        <w:t xml:space="preserve"> </w:t>
      </w:r>
      <w:r>
        <w:t xml:space="preserve">(e.g. maximum leverage, drawdown limits) are critical. Recent work emphasizes</w:t>
      </w:r>
      <w:r>
        <w:t xml:space="preserve"> </w:t>
      </w:r>
      <w:r>
        <w:rPr>
          <w:b/>
          <w:bCs/>
        </w:rPr>
        <w:t xml:space="preserve">risk-aware RL</w:t>
      </w:r>
      <w:r>
        <w:t xml:space="preserve"> </w:t>
      </w:r>
      <w:r>
        <w:t xml:space="preserve">(e.g. incorporating volatility penalties or tail-risk in the reward</w:t>
      </w:r>
      <w:hyperlink r:id="rId40">
        <w:r>
          <w:rPr>
            <w:rStyle w:val="Hyperlink"/>
          </w:rPr>
          <w:t xml:space="preserve">[16]</w:t>
        </w:r>
      </w:hyperlink>
      <w:r>
        <w:t xml:space="preserve">). Explainability is also a factor: purely black-box AI decisions may be undesirable, suggesting the inclusion of interpretable rules or periodic human review</w:t>
      </w:r>
      <w:hyperlink r:id="rId42">
        <w:r>
          <w:rPr>
            <w:rStyle w:val="Hyperlink"/>
          </w:rPr>
          <w:t xml:space="preserve">[18]</w:t>
        </w:r>
      </w:hyperlink>
      <w:r>
        <w:t xml:space="preserve">.</w:t>
      </w:r>
    </w:p>
    <w:bookmarkEnd w:id="43"/>
    <w:bookmarkStart w:id="46" w:name="backtesting-and-evaluation"/>
    <w:p>
      <w:pPr>
        <w:pStyle w:val="Heading2"/>
      </w:pPr>
      <w:r>
        <w:t xml:space="preserve">5. Backtesting and Evaluation</w:t>
      </w:r>
    </w:p>
    <w:p>
      <w:pPr>
        <w:pStyle w:val="FirstParagraph"/>
      </w:pPr>
      <w:r>
        <w:t xml:space="preserve">Robust backtesting is crucial to validate the adaptive system. We must simulate</w:t>
      </w:r>
      <w:r>
        <w:t xml:space="preserve"> </w:t>
      </w:r>
      <w:r>
        <w:rPr>
          <w:b/>
          <w:bCs/>
        </w:rPr>
        <w:t xml:space="preserve">realistic trading</w:t>
      </w:r>
      <w:r>
        <w:t xml:space="preserve"> </w:t>
      </w:r>
      <w:r>
        <w:t xml:space="preserve">including: transaction costs (exchange fees, bid-ask spreads), slippage from limited liquidity, on-chain constraints (gas limits, reorgs), and latency. For crypto specifically, costs include gas fees for on-chain trades or MEV extraction. We should also test</w:t>
      </w:r>
      <w:r>
        <w:t xml:space="preserve"> </w:t>
      </w:r>
      <w:r>
        <w:rPr>
          <w:b/>
          <w:bCs/>
        </w:rPr>
        <w:t xml:space="preserve">adversarial scenarios</w:t>
      </w:r>
      <w:r>
        <w:t xml:space="preserve"> </w:t>
      </w:r>
      <w:r>
        <w:t xml:space="preserve">(e.g. flash crashes, oracle attacks) and</w:t>
      </w:r>
      <w:r>
        <w:t xml:space="preserve"> </w:t>
      </w:r>
      <w:r>
        <w:rPr>
          <w:b/>
          <w:bCs/>
        </w:rPr>
        <w:t xml:space="preserve">regime shifts</w:t>
      </w:r>
      <w:r>
        <w:t xml:space="preserve"> </w:t>
      </w:r>
      <w:r>
        <w:t xml:space="preserve">(recession vs. boom, low vs. high volatility). Walk-forward (rolling-window) validation is recommended to avoid look-ahead bias</w:t>
      </w:r>
      <w:hyperlink r:id="rId44">
        <w:r>
          <w:rPr>
            <w:rStyle w:val="Hyperlink"/>
          </w:rPr>
          <w:t xml:space="preserve">[19]</w:t>
        </w:r>
      </w:hyperlink>
      <w:r>
        <w:t xml:space="preserve">. That is, repeatedly re-train/tune the model on a moving in-sample window and test on the subsequent out-of-sample period; this yields many quasi-real-time simulations.</w:t>
      </w:r>
    </w:p>
    <w:p>
      <w:pPr>
        <w:pStyle w:val="BodyText"/>
      </w:pPr>
      <w:r>
        <w:t xml:space="preserve">Performance metrics should include</w:t>
      </w:r>
      <w:r>
        <w:t xml:space="preserve"> </w:t>
      </w:r>
      <w:r>
        <w:rPr>
          <w:b/>
          <w:bCs/>
        </w:rPr>
        <w:t xml:space="preserve">return/risk measures</w:t>
      </w:r>
      <w:r>
        <w:t xml:space="preserve"> </w:t>
      </w:r>
      <w:r>
        <w:t xml:space="preserve">such as annualized return, Sharpe and Sortino ratios, maximum drawdown, and tail-risk measures (e.g. CVaR, maximum loss).</w:t>
      </w:r>
      <w:r>
        <w:t xml:space="preserve"> </w:t>
      </w:r>
      <w:r>
        <w:rPr>
          <w:b/>
          <w:bCs/>
        </w:rPr>
        <w:t xml:space="preserve">Turnover</w:t>
      </w:r>
      <w:r>
        <w:t xml:space="preserve"> </w:t>
      </w:r>
      <w:r>
        <w:t xml:space="preserve">and</w:t>
      </w:r>
      <w:r>
        <w:t xml:space="preserve"> </w:t>
      </w:r>
      <w:r>
        <w:rPr>
          <w:b/>
          <w:bCs/>
        </w:rPr>
        <w:t xml:space="preserve">leverage</w:t>
      </w:r>
      <w:r>
        <w:t xml:space="preserve"> </w:t>
      </w:r>
      <w:r>
        <w:t xml:space="preserve">metrics quantify trading intensity and liquidity usage. We should also decompose realized returns into expected alpha vs. noise to detect overfitting. For example, Deep et al. (2025) illustrate that even interpretable strategies yield modest returns (Sharpe ~0.33) once realistic costs and rolling validation are applied</w:t>
      </w:r>
      <w:hyperlink r:id="rId44">
        <w:r>
          <w:rPr>
            <w:rStyle w:val="Hyperlink"/>
          </w:rPr>
          <w:t xml:space="preserve">[19]</w:t>
        </w:r>
      </w:hyperlink>
      <w:r>
        <w:t xml:space="preserve">. Their results show strong regime-dependence: positive performance in high-vol periods (e.g. +0.60% quarterly) vs flat/negative in calm markets</w:t>
      </w:r>
      <w:hyperlink r:id="rId45">
        <w:r>
          <w:rPr>
            <w:rStyle w:val="Hyperlink"/>
          </w:rPr>
          <w:t xml:space="preserve">[20]</w:t>
        </w:r>
      </w:hyperlink>
      <w:r>
        <w:t xml:space="preserve">. This highlights the need to test strategies specifically across different market regimes.</w:t>
      </w:r>
    </w:p>
    <w:p>
      <w:pPr>
        <w:pStyle w:val="BodyText"/>
      </w:pPr>
      <w:r>
        <w:rPr>
          <w:b/>
          <w:bCs/>
        </w:rPr>
        <w:t xml:space="preserve">Evaluation charts:</w:t>
      </w:r>
      <w:r>
        <w:t xml:space="preserve"> </w:t>
      </w:r>
      <w:r>
        <w:t xml:space="preserve">We would plot equity curves and drawdowns of strategies vs. benchmarks across regimes. For instance, compare a static multi-factor portfolio, a simple momentum strategy, and our adaptive RL strategy, over a timeline containing bull and bear markets. Key graphs could show out-of-sample returns in each regime, or cumulative returns with shaded regions for regimes. (In practice, one could simulate synthetic price series with regime switches or use historical data segmented by volatility.)</w:t>
      </w:r>
    </w:p>
    <w:p>
      <w:pPr>
        <w:pStyle w:val="BodyText"/>
      </w:pPr>
      <w:r>
        <w:t xml:space="preserve">In sum, evaluation should follow best practices:</w:t>
      </w:r>
      <w:r>
        <w:t xml:space="preserve"> </w:t>
      </w:r>
      <w:r>
        <w:rPr>
          <w:i/>
          <w:iCs/>
        </w:rPr>
        <w:t xml:space="preserve">“strict information set discipline”</w:t>
      </w:r>
      <w:r>
        <w:t xml:space="preserve"> </w:t>
      </w:r>
      <w:r>
        <w:t xml:space="preserve">(no peeking),</w:t>
      </w:r>
      <w:r>
        <w:t xml:space="preserve"> </w:t>
      </w:r>
      <w:r>
        <w:rPr>
          <w:i/>
          <w:iCs/>
        </w:rPr>
        <w:t xml:space="preserve">rolling validation</w:t>
      </w:r>
      <w:r>
        <w:t xml:space="preserve">, and</w:t>
      </w:r>
      <w:r>
        <w:t xml:space="preserve"> </w:t>
      </w:r>
      <w:r>
        <w:rPr>
          <w:i/>
          <w:iCs/>
        </w:rPr>
        <w:t xml:space="preserve">realistic costs/constraints</w:t>
      </w:r>
      <w:hyperlink r:id="rId44">
        <w:r>
          <w:rPr>
            <w:rStyle w:val="Hyperlink"/>
          </w:rPr>
          <w:t xml:space="preserve">[19]</w:t>
        </w:r>
      </w:hyperlink>
      <w:r>
        <w:t xml:space="preserve">. Only strategies that are robust under these tests would be considered viable.</w:t>
      </w:r>
    </w:p>
    <w:bookmarkEnd w:id="46"/>
    <w:bookmarkStart w:id="47" w:name="implementation-roadmap"/>
    <w:p>
      <w:pPr>
        <w:pStyle w:val="Heading2"/>
      </w:pPr>
      <w:r>
        <w:t xml:space="preserve">6. Implementation Roadmap</w:t>
      </w:r>
    </w:p>
    <w:p>
      <w:pPr>
        <w:pStyle w:val="FirstParagraph"/>
      </w:pPr>
      <w:r>
        <w:t xml:space="preserve">A staged implementation plan might include the following milestones (see Gantt chart below):</w:t>
      </w:r>
    </w:p>
    <w:p>
      <w:pPr>
        <w:pStyle w:val="Compact"/>
        <w:numPr>
          <w:ilvl w:val="0"/>
          <w:numId w:val="1002"/>
        </w:numPr>
      </w:pPr>
      <w:r>
        <w:rPr>
          <w:b/>
          <w:bCs/>
        </w:rPr>
        <w:t xml:space="preserve">Data Infrastructure (Months 1–6):</w:t>
      </w:r>
      <w:r>
        <w:t xml:space="preserve"> </w:t>
      </w:r>
      <w:r>
        <w:t xml:space="preserve">Set up data ingestion from blockchain (Ethereum nodes, The Graph) and market data APIs. Build time-series database (e.g. PostgreSQL, InfluxDB). Ensure on-chain explorer data (staking balances, gas prices, transaction volume) and external data (prices, macro factors) are streamed in real time.</w:t>
      </w:r>
    </w:p>
    <w:p>
      <w:pPr>
        <w:pStyle w:val="Compact"/>
        <w:numPr>
          <w:ilvl w:val="0"/>
          <w:numId w:val="1002"/>
        </w:numPr>
      </w:pPr>
      <w:r>
        <w:rPr>
          <w:b/>
          <w:bCs/>
        </w:rPr>
        <w:t xml:space="preserve">Feature Engineering &amp; Factor Development (Months 4–10):</w:t>
      </w:r>
      <w:r>
        <w:t xml:space="preserve"> </w:t>
      </w:r>
      <w:r>
        <w:t xml:space="preserve">Develop scripts to compute factors: traditional (momentum, value, volatility) and blockchain-specific (staking ratio, transaction fee rate, MEV indicators, liquidity metrics). Build data pipelines for regularly updating factor values and return streams.</w:t>
      </w:r>
    </w:p>
    <w:p>
      <w:pPr>
        <w:pStyle w:val="Compact"/>
        <w:numPr>
          <w:ilvl w:val="0"/>
          <w:numId w:val="1002"/>
        </w:numPr>
      </w:pPr>
      <w:r>
        <w:rPr>
          <w:b/>
          <w:bCs/>
        </w:rPr>
        <w:t xml:space="preserve">Model Prototyping (Months 7–12):</w:t>
      </w:r>
      <w:r>
        <w:t xml:space="preserve"> </w:t>
      </w:r>
      <w:r>
        <w:t xml:space="preserve">Implement baseline factor models (e.g. linear regressions, PCA) and adaptive models (HMM regimes, time-varying beta). Develop the allocation engine (e.g. mean–variance optimizer, risk parity engine). Integrate risk models (covariance estimation, stress scenarios).</w:t>
      </w:r>
    </w:p>
    <w:p>
      <w:pPr>
        <w:pStyle w:val="Compact"/>
        <w:numPr>
          <w:ilvl w:val="0"/>
          <w:numId w:val="1002"/>
        </w:numPr>
      </w:pPr>
      <w:r>
        <w:rPr>
          <w:b/>
          <w:bCs/>
        </w:rPr>
        <w:t xml:space="preserve">AI Tuner &amp; Strategy Integration (Months 10–15):</w:t>
      </w:r>
      <w:r>
        <w:t xml:space="preserve"> </w:t>
      </w:r>
      <w:r>
        <w:t xml:space="preserve">Choose AI methods (e.g. PPO agent, bandit framework). Implement a training environment (possibly in OpenAI Gym style) that feeds historical returns and regime indicators. Integrate the tuner so it can adjust portfolio weights or hyperparameters.</w:t>
      </w:r>
    </w:p>
    <w:p>
      <w:pPr>
        <w:pStyle w:val="Compact"/>
        <w:numPr>
          <w:ilvl w:val="0"/>
          <w:numId w:val="1002"/>
        </w:numPr>
      </w:pPr>
      <w:r>
        <w:rPr>
          <w:b/>
          <w:bCs/>
        </w:rPr>
        <w:t xml:space="preserve">Backtesting Framework (Months 12–18):</w:t>
      </w:r>
      <w:r>
        <w:t xml:space="preserve"> </w:t>
      </w:r>
      <w:r>
        <w:t xml:space="preserve">Build a backtest engine capable of simulating trades with transaction costs, slippage, and on-chain latency. Incorporate walk-forward capability for automated re-training. Validate performance across multiple periods.</w:t>
      </w:r>
    </w:p>
    <w:p>
      <w:pPr>
        <w:pStyle w:val="Compact"/>
        <w:numPr>
          <w:ilvl w:val="0"/>
          <w:numId w:val="1002"/>
        </w:numPr>
      </w:pPr>
      <w:r>
        <w:rPr>
          <w:b/>
          <w:bCs/>
        </w:rPr>
        <w:t xml:space="preserve">Simulations &amp; Stress Testing (Months 15–20):</w:t>
      </w:r>
      <w:r>
        <w:t xml:space="preserve"> </w:t>
      </w:r>
      <w:r>
        <w:t xml:space="preserve">Run extensive simulations including adversarial tests (e.g. sudden 20% price shock, blockchain congestion). Refine models based on stress outcomes.</w:t>
      </w:r>
    </w:p>
    <w:p>
      <w:pPr>
        <w:pStyle w:val="Compact"/>
        <w:numPr>
          <w:ilvl w:val="0"/>
          <w:numId w:val="1002"/>
        </w:numPr>
      </w:pPr>
      <w:r>
        <w:rPr>
          <w:b/>
          <w:bCs/>
        </w:rPr>
        <w:t xml:space="preserve">Deployment &amp; Monitoring (Months 18–24):</w:t>
      </w:r>
      <w:r>
        <w:t xml:space="preserve"> </w:t>
      </w:r>
      <w:r>
        <w:t xml:space="preserve">Connect the model to paper trading or limited live trading (with exchanges, smart contracts). Build monitoring dashboards (alerts on drawdowns, performance vs. benchmarks). Define risk limits and fail-safes (e.g. kill-switch).</w:t>
      </w:r>
    </w:p>
    <w:p>
      <w:pPr>
        <w:pStyle w:val="SourceCode"/>
      </w:pPr>
      <w:r>
        <w:rPr>
          <w:rStyle w:val="VerbatimChar"/>
        </w:rPr>
        <w:t xml:space="preserve">gantt</w:t>
      </w:r>
      <w:r>
        <w:br/>
      </w:r>
      <w:r>
        <w:rPr>
          <w:rStyle w:val="VerbatimChar"/>
        </w:rPr>
        <w:t xml:space="preserve">    title Implementation Roadmap</w:t>
      </w:r>
      <w:r>
        <w:br/>
      </w:r>
      <w:r>
        <w:rPr>
          <w:rStyle w:val="VerbatimChar"/>
        </w:rPr>
        <w:t xml:space="preserve">    dateFormat  YYYY-MM-DD</w:t>
      </w:r>
      <w:r>
        <w:br/>
      </w:r>
      <w:r>
        <w:rPr>
          <w:rStyle w:val="VerbatimChar"/>
        </w:rPr>
        <w:t xml:space="preserve">    section Data &amp; Infrastructure</w:t>
      </w:r>
      <w:r>
        <w:br/>
      </w:r>
      <w:r>
        <w:rPr>
          <w:rStyle w:val="VerbatimChar"/>
        </w:rPr>
        <w:t xml:space="preserve">    Data Collection &amp; Storage       :done,    des1, 2024-01-01, 120d</w:t>
      </w:r>
      <w:r>
        <w:br/>
      </w:r>
      <w:r>
        <w:rPr>
          <w:rStyle w:val="VerbatimChar"/>
        </w:rPr>
        <w:t xml:space="preserve">    API Integration (Exchanges, On-Chain) :active,  des2, 2024-05-01, 120d</w:t>
      </w:r>
      <w:r>
        <w:br/>
      </w:r>
      <w:r>
        <w:rPr>
          <w:rStyle w:val="VerbatimChar"/>
        </w:rPr>
        <w:t xml:space="preserve">    Historical Data Archiving      :         des3, 2024-09-01, 60d</w:t>
      </w:r>
      <w:r>
        <w:br/>
      </w:r>
      <w:r>
        <w:rPr>
          <w:rStyle w:val="VerbatimChar"/>
        </w:rPr>
        <w:t xml:space="preserve">    section Model Development</w:t>
      </w:r>
      <w:r>
        <w:br/>
      </w:r>
      <w:r>
        <w:rPr>
          <w:rStyle w:val="VerbatimChar"/>
        </w:rPr>
        <w:t xml:space="preserve">    Feature Engineering &amp; Factor Research :des4, 2024-07-01, 120d</w:t>
      </w:r>
      <w:r>
        <w:br/>
      </w:r>
      <w:r>
        <w:rPr>
          <w:rStyle w:val="VerbatimChar"/>
        </w:rPr>
        <w:t xml:space="preserve">    Risk Model &amp; Optimization Engine      :des5, 2024-10-01, 90d</w:t>
      </w:r>
      <w:r>
        <w:br/>
      </w:r>
      <w:r>
        <w:rPr>
          <w:rStyle w:val="VerbatimChar"/>
        </w:rPr>
        <w:t xml:space="preserve">    AI Tuner (RL/Bandit) Implementation   :des6, 2025-01-01, 120d</w:t>
      </w:r>
      <w:r>
        <w:br/>
      </w:r>
      <w:r>
        <w:rPr>
          <w:rStyle w:val="VerbatimChar"/>
        </w:rPr>
        <w:t xml:space="preserve">    Backtesting &amp; Simulation Framework   :des7, 2025-02-01, 120d</w:t>
      </w:r>
      <w:r>
        <w:br/>
      </w:r>
      <w:r>
        <w:rPr>
          <w:rStyle w:val="VerbatimChar"/>
        </w:rPr>
        <w:t xml:space="preserve">    section Deployment &amp; Testing</w:t>
      </w:r>
      <w:r>
        <w:br/>
      </w:r>
      <w:r>
        <w:rPr>
          <w:rStyle w:val="VerbatimChar"/>
        </w:rPr>
        <w:t xml:space="preserve">    Walk-Forward Validation &amp; Stress Tests:des8, 2025-05-01, 90d</w:t>
      </w:r>
      <w:r>
        <w:br/>
      </w:r>
      <w:r>
        <w:rPr>
          <w:rStyle w:val="VerbatimChar"/>
        </w:rPr>
        <w:t xml:space="preserve">    Production Integration &amp; Monitoring   :des9, 2025-08-01, 90d</w:t>
      </w:r>
    </w:p>
    <w:p>
      <w:pPr>
        <w:pStyle w:val="FirstParagraph"/>
      </w:pPr>
      <w:r>
        <w:rPr>
          <w:b/>
          <w:bCs/>
        </w:rPr>
        <w:t xml:space="preserve">Figure 2:</w:t>
      </w:r>
      <w:r>
        <w:t xml:space="preserve"> </w:t>
      </w:r>
      <w:r>
        <w:t xml:space="preserve">Example Gantt timeline. Overlaps are likely (e.g. feature engineering overlaps with AI model training). Adjust tasks to actual resources.</w:t>
      </w:r>
    </w:p>
    <w:p>
      <w:pPr>
        <w:pStyle w:val="BodyText"/>
      </w:pPr>
      <w:r>
        <w:rPr>
          <w:b/>
          <w:bCs/>
        </w:rPr>
        <w:t xml:space="preserve">Data Sources/APIs:</w:t>
      </w:r>
      <w:r>
        <w:t xml:space="preserve"> </w:t>
      </w:r>
      <w:r>
        <w:t xml:space="preserve">Ethereum block data (Infura, Alchemy, direct nodes); The Graph or Dune for DeFi metrics; exchange APIs (Binance, Coinbase) for price; staking dashboards (Etherscan Beacon Chain API); MEV aggregators (Flashbots). Market data can come from CCXT-compatible sources or commercial feeds.</w:t>
      </w:r>
    </w:p>
    <w:p>
      <w:pPr>
        <w:pStyle w:val="BodyText"/>
      </w:pPr>
      <w:r>
        <w:rPr>
          <w:b/>
          <w:bCs/>
        </w:rPr>
        <w:t xml:space="preserve">Compute &amp; Tools:</w:t>
      </w:r>
      <w:r>
        <w:t xml:space="preserve"> </w:t>
      </w:r>
      <w:r>
        <w:t xml:space="preserve">Machine learning frameworks (PyTorch, TensorFlow) for model training; financial libraries (cvxpy for optimization, quant libraries for backtesting); RL libraries (Stable-Baselines3, RLlib); statistical packages (Stan/PyMC3 for Bayesian models). Consider cloud GPUs for training neural models and ample CPU for simulation. Version control and CI/CD for code.</w:t>
      </w:r>
    </w:p>
    <w:p>
      <w:pPr>
        <w:pStyle w:val="BodyText"/>
      </w:pPr>
      <w:r>
        <w:rPr>
          <w:b/>
          <w:bCs/>
        </w:rPr>
        <w:t xml:space="preserve">Libraries and OSS:</w:t>
      </w:r>
      <w:r>
        <w:t xml:space="preserve"> </w:t>
      </w:r>
      <w:r>
        <w:t xml:space="preserve">Leverage open-source DeFi tools (Web3.py, Brownie/Ethers.js for smart contracts), portfolio libs (PyPortfolioOpt), and data tools (Pandas, scikit-learn). For RL, use established frameworks and open-source trading platforms (Backtrader, Zipline) as starting points.</w:t>
      </w:r>
    </w:p>
    <w:bookmarkEnd w:id="47"/>
    <w:bookmarkStart w:id="48" w:name="risks-limitations-and-governance"/>
    <w:p>
      <w:pPr>
        <w:pStyle w:val="Heading2"/>
      </w:pPr>
      <w:r>
        <w:t xml:space="preserve">7. Risks, Limitations, and Governance</w:t>
      </w:r>
    </w:p>
    <w:p>
      <w:pPr>
        <w:pStyle w:val="FirstParagraph"/>
      </w:pPr>
      <w:r>
        <w:rPr>
          <w:b/>
          <w:bCs/>
        </w:rPr>
        <w:t xml:space="preserve">Model Risk:</w:t>
      </w:r>
      <w:r>
        <w:t xml:space="preserve"> </w:t>
      </w:r>
      <w:r>
        <w:t xml:space="preserve">Any quantitative model may fail under novel conditions. Overfitting is a primary concern; hence the emphasis on walk-forward testing</w:t>
      </w:r>
      <w:hyperlink r:id="rId44">
        <w:r>
          <w:rPr>
            <w:rStyle w:val="Hyperlink"/>
          </w:rPr>
          <w:t xml:space="preserve">[19]</w:t>
        </w:r>
      </w:hyperlink>
      <w:r>
        <w:t xml:space="preserve">. Even well-validated strategies can suffer during black-swan events (e.g. new regulatory bans, chain forks). We must enforce risk limits (position limits, max leverage) and regularly re-evaluate model assumptions. Interpretability aids governance: for example, Deep et al. (2025) enforce that every trade be explainable, enabling audit and compliance</w:t>
      </w:r>
      <w:hyperlink r:id="rId42">
        <w:r>
          <w:rPr>
            <w:rStyle w:val="Hyperlink"/>
          </w:rPr>
          <w:t xml:space="preserve">[18]</w:t>
        </w:r>
      </w:hyperlink>
      <w:r>
        <w:t xml:space="preserve">. Black-box AI decisions can be dangerous without oversight.</w:t>
      </w:r>
    </w:p>
    <w:p>
      <w:pPr>
        <w:pStyle w:val="BodyText"/>
      </w:pPr>
      <w:r>
        <w:rPr>
          <w:b/>
          <w:bCs/>
        </w:rPr>
        <w:t xml:space="preserve">Data and Oracle Integrity:</w:t>
      </w:r>
      <w:r>
        <w:t xml:space="preserve"> </w:t>
      </w:r>
      <w:r>
        <w:t xml:space="preserve">On-chain data is generally reliable but subject to oracles and API dependencies. Using decentralized data (direct node queries) can mitigate some trust issues. However, off-chain data (e.g. sentiment, macro figures) relies on oracles that can be wrong or attacked. MEV data and chain reorganizations pose another layer of risk. We must build checks (e.g. multiple data sources, anomaly detection) to guard against corrupted inputs.</w:t>
      </w:r>
    </w:p>
    <w:p>
      <w:pPr>
        <w:pStyle w:val="BodyText"/>
      </w:pPr>
      <w:r>
        <w:rPr>
          <w:b/>
          <w:bCs/>
        </w:rPr>
        <w:t xml:space="preserve">Regulatory and Legal Risks:</w:t>
      </w:r>
      <w:r>
        <w:t xml:space="preserve"> </w:t>
      </w:r>
      <w:r>
        <w:t xml:space="preserve">Crypto assets face evolving regulation worldwide. Some jurisdictions may classify certain tokens as securities, requiring compliance (KYC/AML, accredited investor rules). If running a fund or making recommendations, licensing (SEC, MAS, etc.) might be needed. Tax treatment of returns (especially airdrops and DeFi yields) can be complex. Governance must include legal counsel. Additionally, any automated trading must consider exchange regulations (market manipulation rules) and blockchain-specific compliance (e.g. sanctions on addresses).</w:t>
      </w:r>
    </w:p>
    <w:p>
      <w:pPr>
        <w:pStyle w:val="BodyText"/>
      </w:pPr>
      <w:r>
        <w:rPr>
          <w:b/>
          <w:bCs/>
        </w:rPr>
        <w:t xml:space="preserve">Explainability &amp; Governance:</w:t>
      </w:r>
      <w:r>
        <w:t xml:space="preserve"> </w:t>
      </w:r>
      <w:r>
        <w:t xml:space="preserve">For user trust and oversight, the system should log its decisions and provide rationale when possible. As noted, “complete interpretability” of trading decisions facilitates audit and regulatory compliance</w:t>
      </w:r>
      <w:hyperlink r:id="rId42">
        <w:r>
          <w:rPr>
            <w:rStyle w:val="Hyperlink"/>
          </w:rPr>
          <w:t xml:space="preserve">[18]</w:t>
        </w:r>
      </w:hyperlink>
      <w:r>
        <w:t xml:space="preserve">. At minimum, periodic human review of the AI tuner's parameter updates is prudent. Strategies should have an overseer (e.g. compliance officer) who can pause trading if unexpected risks emerge. A governance framework (possibly a multi-stakeholder committee) can set the risk budget and approve model changes.</w:t>
      </w:r>
    </w:p>
    <w:p>
      <w:pPr>
        <w:pStyle w:val="BodyText"/>
      </w:pPr>
      <w:r>
        <w:rPr>
          <w:b/>
          <w:bCs/>
        </w:rPr>
        <w:t xml:space="preserve">Cryptographic and Operational Risks:</w:t>
      </w:r>
      <w:r>
        <w:t xml:space="preserve"> </w:t>
      </w:r>
      <w:r>
        <w:t xml:space="preserve">Smart-contract or exchange risks (hacks, downtime) can interrupt execution. Custody of digital assets must be secure (hardware wallets, multi-sig for keys). The system itself must resist cyber-attacks (DDOS, data leaks). Regular security audits and fail-safes (e.g. circuit breakers) are necessary.</w:t>
      </w:r>
    </w:p>
    <w:p>
      <w:pPr>
        <w:pStyle w:val="BodyText"/>
      </w:pPr>
      <w:r>
        <w:t xml:space="preserve">In summary, while a self-adaptive system offers potential alpha, it must be built with robust safeguards: rigorous validation to prevent overfitting</w:t>
      </w:r>
      <w:hyperlink r:id="rId44">
        <w:r>
          <w:rPr>
            <w:rStyle w:val="Hyperlink"/>
          </w:rPr>
          <w:t xml:space="preserve">[19]</w:t>
        </w:r>
      </w:hyperlink>
      <w:r>
        <w:t xml:space="preserve">, data integrity checks, compliance with financial regulations, and human-in-the-loop oversight. Explainability tools (e.g. SHAP values for ML models, rule-based fallback strategies) can help illuminate why certain allocations are chosen, aiding governance and trust.</w:t>
      </w:r>
    </w:p>
    <w:bookmarkEnd w:id="48"/>
    <w:bookmarkStart w:id="49" w:name="references"/>
    <w:p>
      <w:pPr>
        <w:pStyle w:val="Heading2"/>
      </w:pPr>
      <w:r>
        <w:t xml:space="preserve">References</w:t>
      </w:r>
    </w:p>
    <w:p>
      <w:pPr>
        <w:pStyle w:val="Compact"/>
        <w:numPr>
          <w:ilvl w:val="0"/>
          <w:numId w:val="1003"/>
        </w:numPr>
      </w:pPr>
      <w:r>
        <w:t xml:space="preserve">Guyi Liang (2024).</w:t>
      </w:r>
      <w:r>
        <w:t xml:space="preserve"> </w:t>
      </w:r>
      <w:r>
        <w:rPr>
          <w:i/>
          <w:iCs/>
        </w:rPr>
        <w:t xml:space="preserve">Multi-factor Models in Finance</w:t>
      </w:r>
      <w:r>
        <w:t xml:space="preserve">. Advances in Econ. Mgt. &amp; Pol. Sci. (review of factor models)</w:t>
      </w:r>
      <w:hyperlink r:id="rId22">
        <w:r>
          <w:rPr>
            <w:rStyle w:val="Hyperlink"/>
          </w:rPr>
          <w:t xml:space="preserve">[1]</w:t>
        </w:r>
      </w:hyperlink>
      <w:r>
        <w:t xml:space="preserve">.</w:t>
      </w:r>
    </w:p>
    <w:p>
      <w:pPr>
        <w:pStyle w:val="Compact"/>
        <w:numPr>
          <w:ilvl w:val="0"/>
          <w:numId w:val="1003"/>
        </w:numPr>
      </w:pPr>
      <w:r>
        <w:t xml:space="preserve">Gustavo Santos et al. (2022).</w:t>
      </w:r>
      <w:r>
        <w:t xml:space="preserve"> </w:t>
      </w:r>
      <w:r>
        <w:rPr>
          <w:i/>
          <w:iCs/>
        </w:rPr>
        <w:t xml:space="preserve">Portfolio optimization using AI: a systematic literature review</w:t>
      </w:r>
      <w:r>
        <w:t xml:space="preserve"> </w:t>
      </w:r>
      <w:r>
        <w:t xml:space="preserve">(Exacta)</w:t>
      </w:r>
      <w:hyperlink r:id="rId33">
        <w:r>
          <w:rPr>
            <w:rStyle w:val="Hyperlink"/>
          </w:rPr>
          <w:t xml:space="preserve">[12]</w:t>
        </w:r>
      </w:hyperlink>
      <w:r>
        <w:t xml:space="preserve">.</w:t>
      </w:r>
    </w:p>
    <w:p>
      <w:pPr>
        <w:pStyle w:val="Compact"/>
        <w:numPr>
          <w:ilvl w:val="0"/>
          <w:numId w:val="1003"/>
        </w:numPr>
      </w:pPr>
      <w:r>
        <w:t xml:space="preserve">Gabriel Nixon Raj (2025).</w:t>
      </w:r>
      <w:r>
        <w:t xml:space="preserve"> </w:t>
      </w:r>
      <w:r>
        <w:rPr>
          <w:i/>
          <w:iCs/>
        </w:rPr>
        <w:t xml:space="preserve">Adaptive and Regime-Aware RL for Portfolio Optimization</w:t>
      </w:r>
      <w:r>
        <w:t xml:space="preserve"> </w:t>
      </w:r>
      <w:r>
        <w:t xml:space="preserve">(arXiv)</w:t>
      </w:r>
      <w:hyperlink r:id="rId26">
        <w:r>
          <w:rPr>
            <w:rStyle w:val="Hyperlink"/>
          </w:rPr>
          <w:t xml:space="preserve">[5]</w:t>
        </w:r>
      </w:hyperlink>
      <w:r>
        <w:t xml:space="preserve">.</w:t>
      </w:r>
    </w:p>
    <w:p>
      <w:pPr>
        <w:pStyle w:val="Compact"/>
        <w:numPr>
          <w:ilvl w:val="0"/>
          <w:numId w:val="1003"/>
        </w:numPr>
      </w:pPr>
      <w:r>
        <w:t xml:space="preserve">Thang S. Kop (2025).</w:t>
      </w:r>
      <w:r>
        <w:t xml:space="preserve"> </w:t>
      </w:r>
      <w:r>
        <w:rPr>
          <w:i/>
          <w:iCs/>
        </w:rPr>
        <w:t xml:space="preserve">Multi-Regime RL for Adaptive Portfolio Optimization</w:t>
      </w:r>
      <w:hyperlink r:id="rId23">
        <w:r>
          <w:rPr>
            <w:rStyle w:val="Hyperlink"/>
          </w:rPr>
          <w:t xml:space="preserve">[2]</w:t>
        </w:r>
      </w:hyperlink>
      <w:hyperlink r:id="rId25">
        <w:r>
          <w:rPr>
            <w:rStyle w:val="Hyperlink"/>
          </w:rPr>
          <w:t xml:space="preserve">[4]</w:t>
        </w:r>
      </w:hyperlink>
      <w:r>
        <w:t xml:space="preserve">.</w:t>
      </w:r>
    </w:p>
    <w:p>
      <w:pPr>
        <w:pStyle w:val="Compact"/>
        <w:numPr>
          <w:ilvl w:val="0"/>
          <w:numId w:val="1003"/>
        </w:numPr>
      </w:pPr>
      <w:r>
        <w:t xml:space="preserve">Sood et al. (2026).</w:t>
      </w:r>
      <w:r>
        <w:t xml:space="preserve"> </w:t>
      </w:r>
      <w:r>
        <w:rPr>
          <w:i/>
          <w:iCs/>
        </w:rPr>
        <w:t xml:space="preserve">Deep RL vs Mean-Variance for Portfolio</w:t>
      </w:r>
      <w:r>
        <w:t xml:space="preserve"> </w:t>
      </w:r>
      <w:r>
        <w:t xml:space="preserve">(FinPlan23)</w:t>
      </w:r>
      <w:hyperlink r:id="rId28">
        <w:r>
          <w:rPr>
            <w:rStyle w:val="Hyperlink"/>
          </w:rPr>
          <w:t xml:space="preserve">[7]</w:t>
        </w:r>
      </w:hyperlink>
      <w:r>
        <w:t xml:space="preserve">.</w:t>
      </w:r>
    </w:p>
    <w:p>
      <w:pPr>
        <w:pStyle w:val="Compact"/>
        <w:numPr>
          <w:ilvl w:val="0"/>
          <w:numId w:val="1003"/>
        </w:numPr>
      </w:pPr>
      <w:r>
        <w:t xml:space="preserve">Ozkaya &amp; Wang (2020).</w:t>
      </w:r>
      <w:r>
        <w:t xml:space="preserve"> </w:t>
      </w:r>
      <w:r>
        <w:rPr>
          <w:i/>
          <w:iCs/>
        </w:rPr>
        <w:t xml:space="preserve">Multi-Armed Bandit for Portfolio Choice</w:t>
      </w:r>
      <w:r>
        <w:t xml:space="preserve"> </w:t>
      </w:r>
      <w:r>
        <w:t xml:space="preserve">(BSE Voice)</w:t>
      </w:r>
      <w:hyperlink r:id="rId29">
        <w:r>
          <w:rPr>
            <w:rStyle w:val="Hyperlink"/>
          </w:rPr>
          <w:t xml:space="preserve">[8]</w:t>
        </w:r>
      </w:hyperlink>
      <w:r>
        <w:t xml:space="preserve">.</w:t>
      </w:r>
    </w:p>
    <w:p>
      <w:pPr>
        <w:pStyle w:val="Compact"/>
        <w:numPr>
          <w:ilvl w:val="0"/>
          <w:numId w:val="1003"/>
        </w:numPr>
      </w:pPr>
      <w:r>
        <w:t xml:space="preserve">Zinuo You et al. (2025).</w:t>
      </w:r>
      <w:r>
        <w:t xml:space="preserve"> </w:t>
      </w:r>
      <w:r>
        <w:rPr>
          <w:i/>
          <w:iCs/>
        </w:rPr>
        <w:t xml:space="preserve">TPE-AS: Bayesian Opt for Portfolio Tuning</w:t>
      </w:r>
      <w:r>
        <w:t xml:space="preserve"> </w:t>
      </w:r>
      <w:r>
        <w:t xml:space="preserve">(arXiv)</w:t>
      </w:r>
      <w:hyperlink r:id="rId30">
        <w:r>
          <w:rPr>
            <w:rStyle w:val="Hyperlink"/>
          </w:rPr>
          <w:t xml:space="preserve">[9]</w:t>
        </w:r>
      </w:hyperlink>
      <w:r>
        <w:t xml:space="preserve">.</w:t>
      </w:r>
    </w:p>
    <w:p>
      <w:pPr>
        <w:pStyle w:val="Compact"/>
        <w:numPr>
          <w:ilvl w:val="0"/>
          <w:numId w:val="1003"/>
        </w:numPr>
      </w:pPr>
      <w:r>
        <w:t xml:space="preserve">Shen et al. (2025).</w:t>
      </w:r>
      <w:r>
        <w:t xml:space="preserve"> </w:t>
      </w:r>
      <w:r>
        <w:rPr>
          <w:i/>
          <w:iCs/>
        </w:rPr>
        <w:t xml:space="preserve">Meta-Learning Mixture Strategies for OLPS</w:t>
      </w:r>
      <w:r>
        <w:t xml:space="preserve"> </w:t>
      </w:r>
      <w:r>
        <w:t xml:space="preserve">(arXiv)</w:t>
      </w:r>
      <w:hyperlink r:id="rId31">
        <w:r>
          <w:rPr>
            <w:rStyle w:val="Hyperlink"/>
          </w:rPr>
          <w:t xml:space="preserve">[10]</w:t>
        </w:r>
      </w:hyperlink>
      <w:r>
        <w:t xml:space="preserve">.</w:t>
      </w:r>
    </w:p>
    <w:p>
      <w:pPr>
        <w:pStyle w:val="Compact"/>
        <w:numPr>
          <w:ilvl w:val="0"/>
          <w:numId w:val="1003"/>
        </w:numPr>
      </w:pPr>
      <w:r>
        <w:t xml:space="preserve">David Kemmerer, CoinLedger (Dec 2025).</w:t>
      </w:r>
      <w:r>
        <w:t xml:space="preserve"> </w:t>
      </w:r>
      <w:r>
        <w:rPr>
          <w:i/>
          <w:iCs/>
        </w:rPr>
        <w:t xml:space="preserve">Ethereum Transaction Fees Trends</w:t>
      </w:r>
      <w:hyperlink r:id="rId36">
        <w:r>
          <w:rPr>
            <w:rStyle w:val="Hyperlink"/>
          </w:rPr>
          <w:t xml:space="preserve">[14]</w:t>
        </w:r>
      </w:hyperlink>
      <w:r>
        <w:t xml:space="preserve">.</w:t>
      </w:r>
    </w:p>
    <w:p>
      <w:pPr>
        <w:pStyle w:val="Compact"/>
        <w:numPr>
          <w:ilvl w:val="0"/>
          <w:numId w:val="1003"/>
        </w:numPr>
      </w:pPr>
      <w:r>
        <w:t xml:space="preserve">Coin Metrics (Dec 2024).</w:t>
      </w:r>
      <w:r>
        <w:t xml:space="preserve"> </w:t>
      </w:r>
      <w:r>
        <w:rPr>
          <w:i/>
          <w:iCs/>
        </w:rPr>
        <w:t xml:space="preserve">Ethereum Staking Yields and Inflation</w:t>
      </w:r>
      <w:hyperlink r:id="rId35">
        <w:r>
          <w:rPr>
            <w:rStyle w:val="Hyperlink"/>
          </w:rPr>
          <w:t xml:space="preserve">[13]</w:t>
        </w:r>
      </w:hyperlink>
      <w:hyperlink r:id="rId37">
        <w:r>
          <w:rPr>
            <w:rStyle w:val="Hyperlink"/>
          </w:rPr>
          <w:t xml:space="preserve">[15]</w:t>
        </w:r>
      </w:hyperlink>
      <w:r>
        <w:t xml:space="preserve">.</w:t>
      </w:r>
    </w:p>
    <w:p>
      <w:pPr>
        <w:pStyle w:val="Compact"/>
        <w:numPr>
          <w:ilvl w:val="0"/>
          <w:numId w:val="1003"/>
        </w:numPr>
      </w:pPr>
      <w:r>
        <w:t xml:space="preserve">G. Deep et al. (2025).</w:t>
      </w:r>
      <w:r>
        <w:t xml:space="preserve"> </w:t>
      </w:r>
      <w:r>
        <w:rPr>
          <w:i/>
          <w:iCs/>
        </w:rPr>
        <w:t xml:space="preserve">Walk-Forward Validation for Trading</w:t>
      </w:r>
      <w:r>
        <w:t xml:space="preserve"> </w:t>
      </w:r>
      <w:r>
        <w:t xml:space="preserve">(arXiv)</w:t>
      </w:r>
      <w:hyperlink r:id="rId44">
        <w:r>
          <w:rPr>
            <w:rStyle w:val="Hyperlink"/>
          </w:rPr>
          <w:t xml:space="preserve">[19]</w:t>
        </w:r>
      </w:hyperlink>
      <w:hyperlink r:id="rId45">
        <w:r>
          <w:rPr>
            <w:rStyle w:val="Hyperlink"/>
          </w:rPr>
          <w:t xml:space="preserve">[20]</w:t>
        </w:r>
      </w:hyperlink>
      <w:hyperlink r:id="rId42">
        <w:r>
          <w:rPr>
            <w:rStyle w:val="Hyperlink"/>
          </w:rPr>
          <w:t xml:space="preserve">[18]</w:t>
        </w:r>
      </w:hyperlink>
      <w:r>
        <w:t xml:space="preserve">.</w:t>
      </w:r>
    </w:p>
    <w:p>
      <w:pPr>
        <w:pStyle w:val="FirstParagraph"/>
      </w:pPr>
      <w:r>
        <w:t xml:space="preserve">(</w:t>
      </w:r>
      <w:r>
        <w:rPr>
          <w:i/>
          <w:iCs/>
        </w:rPr>
        <w:t xml:space="preserve">Further references available in original sources. All cited excerpts are from peer-reviewed or reputable industry publications.</w:t>
      </w:r>
      <w:r>
        <w:t xml:space="preserve">)</w:t>
      </w:r>
    </w:p>
    <w:bookmarkEnd w:id="49"/>
    <w:bookmarkEnd w:id="50"/>
    <w:bookmarkEnd w:id="51"/>
    <w:p>
      <w:r>
        <w:pict>
          <v:rect style="width:0;height:1.5pt" o:hralign="center" o:hrstd="t" o:hr="t"/>
        </w:pict>
      </w:r>
    </w:p>
    <w:bookmarkStart w:id="64" w:name="citations"/>
    <w:p>
      <w:pPr>
        <w:pStyle w:val="FirstParagraph"/>
      </w:pPr>
      <w:hyperlink r:id="rId22">
        <w:r>
          <w:rPr>
            <w:rStyle w:val="Hyperlink"/>
          </w:rPr>
          <w:t xml:space="preserve">[1]</w:t>
        </w:r>
      </w:hyperlink>
      <w:r>
        <w:t xml:space="preserve"> </w:t>
      </w:r>
      <w:r>
        <w:t xml:space="preserve">(PDF) Multi-factor Models in Finance</w:t>
      </w:r>
    </w:p>
    <w:p>
      <w:pPr>
        <w:pStyle w:val="BodyText"/>
      </w:pPr>
      <w:hyperlink r:id="rId52">
        <w:r>
          <w:rPr>
            <w:rStyle w:val="Hyperlink"/>
          </w:rPr>
          <w:t xml:space="preserve">https://www.researchgate.net/publication/379920196_Multi-factor_Models_in_Finance</w:t>
        </w:r>
      </w:hyperlink>
    </w:p>
    <w:p>
      <w:pPr>
        <w:pStyle w:val="BodyText"/>
      </w:pPr>
      <w:hyperlink r:id="rId23">
        <w:r>
          <w:rPr>
            <w:rStyle w:val="Hyperlink"/>
          </w:rPr>
          <w:t xml:space="preserve">[2]</w:t>
        </w:r>
      </w:hyperlink>
      <w:r>
        <w:t xml:space="preserve"> </w:t>
      </w:r>
      <w:hyperlink r:id="rId25">
        <w:r>
          <w:rPr>
            <w:rStyle w:val="Hyperlink"/>
          </w:rPr>
          <w:t xml:space="preserve">[4]</w:t>
        </w:r>
      </w:hyperlink>
      <w:r>
        <w:t xml:space="preserve"> </w:t>
      </w:r>
      <w:hyperlink r:id="rId27">
        <w:r>
          <w:rPr>
            <w:rStyle w:val="Hyperlink"/>
          </w:rPr>
          <w:t xml:space="preserve">[6]</w:t>
        </w:r>
      </w:hyperlink>
      <w:r>
        <w:t xml:space="preserve"> </w:t>
      </w:r>
      <w:hyperlink r:id="rId41">
        <w:r>
          <w:rPr>
            <w:rStyle w:val="Hyperlink"/>
          </w:rPr>
          <w:t xml:space="preserve">[17]</w:t>
        </w:r>
      </w:hyperlink>
      <w:r>
        <w:t xml:space="preserve"> </w:t>
      </w:r>
      <w:r>
        <w:t xml:space="preserve">(PDF) Multi-Regime Reinforcement Learning for Adaptive Portfolio Optimization</w:t>
      </w:r>
    </w:p>
    <w:p>
      <w:pPr>
        <w:pStyle w:val="BodyText"/>
      </w:pPr>
      <w:hyperlink r:id="rId53">
        <w:r>
          <w:rPr>
            <w:rStyle w:val="Hyperlink"/>
          </w:rPr>
          <w:t xml:space="preserve">https://www.researchgate.net/publication/397094248_Multi-Regime_Reinforcement_Learning_for_Adaptive_Portfolio_Optimization</w:t>
        </w:r>
      </w:hyperlink>
    </w:p>
    <w:p>
      <w:pPr>
        <w:pStyle w:val="BodyText"/>
      </w:pPr>
      <w:hyperlink r:id="rId24">
        <w:r>
          <w:rPr>
            <w:rStyle w:val="Hyperlink"/>
          </w:rPr>
          <w:t xml:space="preserve">[3]</w:t>
        </w:r>
      </w:hyperlink>
      <w:r>
        <w:t xml:space="preserve"> </w:t>
      </w:r>
      <w:r>
        <w:t xml:space="preserve">economics.yale.edu</w:t>
      </w:r>
    </w:p>
    <w:p>
      <w:pPr>
        <w:pStyle w:val="BodyText"/>
      </w:pPr>
      <w:hyperlink r:id="rId54">
        <w:r>
          <w:rPr>
            <w:rStyle w:val="Hyperlink"/>
          </w:rPr>
          <w:t xml:space="preserve">https://economics.yale.edu/sites/default/files/Forms/zhu_brian_senior_essay_econ_492.pdf</w:t>
        </w:r>
      </w:hyperlink>
    </w:p>
    <w:p>
      <w:pPr>
        <w:pStyle w:val="BodyText"/>
      </w:pPr>
      <w:hyperlink r:id="rId26">
        <w:r>
          <w:rPr>
            <w:rStyle w:val="Hyperlink"/>
          </w:rPr>
          <w:t xml:space="preserve">[5]</w:t>
        </w:r>
      </w:hyperlink>
      <w:r>
        <w:t xml:space="preserve"> </w:t>
      </w:r>
      <w:hyperlink r:id="rId40">
        <w:r>
          <w:rPr>
            <w:rStyle w:val="Hyperlink"/>
          </w:rPr>
          <w:t xml:space="preserve">[16]</w:t>
        </w:r>
      </w:hyperlink>
      <w:r>
        <w:t xml:space="preserve"> </w:t>
      </w:r>
      <w:r>
        <w:t xml:space="preserve">Adaptive and Regime-Aware RL for Portfolio Optimization</w:t>
      </w:r>
    </w:p>
    <w:p>
      <w:pPr>
        <w:pStyle w:val="BodyText"/>
      </w:pPr>
      <w:hyperlink r:id="rId55">
        <w:r>
          <w:rPr>
            <w:rStyle w:val="Hyperlink"/>
          </w:rPr>
          <w:t xml:space="preserve">https://arxiv.org/html/2509.14385v1</w:t>
        </w:r>
      </w:hyperlink>
    </w:p>
    <w:p>
      <w:pPr>
        <w:pStyle w:val="BodyText"/>
      </w:pPr>
      <w:hyperlink r:id="rId28">
        <w:r>
          <w:rPr>
            <w:rStyle w:val="Hyperlink"/>
          </w:rPr>
          <w:t xml:space="preserve">[7]</w:t>
        </w:r>
      </w:hyperlink>
      <w:r>
        <w:t xml:space="preserve"> </w:t>
      </w:r>
      <w:r>
        <w:t xml:space="preserve">[2602.17098] Deep Reinforcement Learning for Optimal Portfolio Allocation: A Comparative Study with Mean-Variance Optimization</w:t>
      </w:r>
    </w:p>
    <w:p>
      <w:pPr>
        <w:pStyle w:val="BodyText"/>
      </w:pPr>
      <w:hyperlink r:id="rId56">
        <w:r>
          <w:rPr>
            <w:rStyle w:val="Hyperlink"/>
          </w:rPr>
          <w:t xml:space="preserve">https://arxiv.org/abs/2602.17098</w:t>
        </w:r>
      </w:hyperlink>
    </w:p>
    <w:p>
      <w:pPr>
        <w:pStyle w:val="BodyText"/>
      </w:pPr>
      <w:hyperlink r:id="rId29">
        <w:r>
          <w:rPr>
            <w:rStyle w:val="Hyperlink"/>
          </w:rPr>
          <w:t xml:space="preserve">[8]</w:t>
        </w:r>
      </w:hyperlink>
      <w:r>
        <w:t xml:space="preserve"> </w:t>
      </w:r>
      <w:r>
        <w:t xml:space="preserve">thevoice.bse.eu</w:t>
      </w:r>
    </w:p>
    <w:p>
      <w:pPr>
        <w:pStyle w:val="BodyText"/>
      </w:pPr>
      <w:hyperlink r:id="rId57">
        <w:r>
          <w:rPr>
            <w:rStyle w:val="Hyperlink"/>
          </w:rPr>
          <w:t xml:space="preserve">https://thevoice.bse.eu/wp-content/uploads/2020/09/project-fin20-ozkaya-wang.pdf</w:t>
        </w:r>
      </w:hyperlink>
    </w:p>
    <w:p>
      <w:pPr>
        <w:pStyle w:val="BodyText"/>
      </w:pPr>
      <w:hyperlink r:id="rId30">
        <w:r>
          <w:rPr>
            <w:rStyle w:val="Hyperlink"/>
          </w:rPr>
          <w:t xml:space="preserve">[9]</w:t>
        </w:r>
      </w:hyperlink>
      <w:r>
        <w:t xml:space="preserve"> </w:t>
      </w:r>
      <w:r>
        <w:t xml:space="preserve">Improving Bayesian Optimization for Portfolio Management with an Adaptive Scheduling</w:t>
      </w:r>
    </w:p>
    <w:p>
      <w:pPr>
        <w:pStyle w:val="BodyText"/>
      </w:pPr>
      <w:hyperlink r:id="rId58">
        <w:r>
          <w:rPr>
            <w:rStyle w:val="Hyperlink"/>
          </w:rPr>
          <w:t xml:space="preserve">https://arxiv.org/html/2504.13529v2</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Meta-Learning the Optimal Mixture of Strategies for Online Portfolio Selection</w:t>
      </w:r>
    </w:p>
    <w:p>
      <w:pPr>
        <w:pStyle w:val="BodyText"/>
      </w:pPr>
      <w:hyperlink r:id="rId59">
        <w:r>
          <w:rPr>
            <w:rStyle w:val="Hyperlink"/>
          </w:rPr>
          <w:t xml:space="preserve">https://arxiv.org/html/2505.03659v2</w:t>
        </w:r>
      </w:hyperlink>
    </w:p>
    <w:p>
      <w:pPr>
        <w:pStyle w:val="BodyText"/>
      </w:pPr>
      <w:hyperlink r:id="rId33">
        <w:r>
          <w:rPr>
            <w:rStyle w:val="Hyperlink"/>
          </w:rPr>
          <w:t xml:space="preserve">[12]</w:t>
        </w:r>
      </w:hyperlink>
      <w:r>
        <w:t xml:space="preserve"> </w:t>
      </w:r>
      <w:r>
        <w:t xml:space="preserve">(PDF) Portfolio optimization using Artificial Intelligence: a systematic literature review</w:t>
      </w:r>
    </w:p>
    <w:p>
      <w:pPr>
        <w:pStyle w:val="BodyText"/>
      </w:pPr>
      <w:hyperlink r:id="rId60">
        <w:r>
          <w:rPr>
            <w:rStyle w:val="Hyperlink"/>
          </w:rPr>
          <w:t xml:space="preserve">https://www.researchgate.net/publication/362660222_Portfolio_optimization_using_Artificial_Intelligence_a_systematic_literature_review</w:t>
        </w:r>
      </w:hyperlink>
    </w:p>
    <w:p>
      <w:pPr>
        <w:pStyle w:val="BodyText"/>
      </w:pPr>
      <w:hyperlink r:id="rId35">
        <w:r>
          <w:rPr>
            <w:rStyle w:val="Hyperlink"/>
          </w:rPr>
          <w:t xml:space="preserve">[13]</w:t>
        </w:r>
      </w:hyperlink>
      <w:r>
        <w:t xml:space="preserve"> </w:t>
      </w:r>
      <w:hyperlink r:id="rId37">
        <w:r>
          <w:rPr>
            <w:rStyle w:val="Hyperlink"/>
          </w:rPr>
          <w:t xml:space="preserve">[15]</w:t>
        </w:r>
      </w:hyperlink>
      <w:r>
        <w:t xml:space="preserve"> </w:t>
      </w:r>
      <w:r>
        <w:t xml:space="preserve">Understanding Staking Yields and Economics on Ethereum &amp; Solana</w:t>
      </w:r>
    </w:p>
    <w:p>
      <w:pPr>
        <w:pStyle w:val="BodyText"/>
      </w:pPr>
      <w:hyperlink r:id="rId61">
        <w:r>
          <w:rPr>
            <w:rStyle w:val="Hyperlink"/>
          </w:rPr>
          <w:t xml:space="preserve">https://coinmetrics.substack.com/p/state-of-the-network-issue-288</w:t>
        </w:r>
      </w:hyperlink>
    </w:p>
    <w:p>
      <w:pPr>
        <w:pStyle w:val="BodyText"/>
      </w:pPr>
      <w:hyperlink r:id="rId36">
        <w:r>
          <w:rPr>
            <w:rStyle w:val="Hyperlink"/>
          </w:rPr>
          <w:t xml:space="preserve">[14]</w:t>
        </w:r>
      </w:hyperlink>
      <w:r>
        <w:t xml:space="preserve"> </w:t>
      </w:r>
      <w:r>
        <w:t xml:space="preserve">Ethereum Transaction Fees and Gas Prices: Trends and Insights [2020-2025] | CoinLedger</w:t>
      </w:r>
    </w:p>
    <w:p>
      <w:pPr>
        <w:pStyle w:val="BodyText"/>
      </w:pPr>
      <w:hyperlink r:id="rId62">
        <w:r>
          <w:rPr>
            <w:rStyle w:val="Hyperlink"/>
          </w:rPr>
          <w:t xml:space="preserve">https://coinledger.io/research/ethereum-transaction-fees-and-gas-prices-trends-and-insights</w:t>
        </w:r>
      </w:hyperlink>
    </w:p>
    <w:p>
      <w:pPr>
        <w:pStyle w:val="BodyText"/>
      </w:pPr>
      <w:hyperlink r:id="rId42">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r>
        <w:t xml:space="preserve">Interpretable Hypothesis-Driven Trading: A Rigorous Walk-Forward Validation Framework for Market Microstructure Signals</w:t>
      </w:r>
    </w:p>
    <w:p>
      <w:pPr>
        <w:pStyle w:val="BodyText"/>
      </w:pPr>
      <w:hyperlink r:id="rId63">
        <w:r>
          <w:rPr>
            <w:rStyle w:val="Hyperlink"/>
          </w:rPr>
          <w:t xml:space="preserve">https://arxiv.org/html/2512.12924v1</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rxiv.org/abs/2602.17098" TargetMode="External" /><Relationship Type="http://schemas.openxmlformats.org/officeDocument/2006/relationships/hyperlink" Id="rId28" Target="https://arxiv.org/abs/2602.17098#:~:text=,maximum%20drawdowns%2C%20and%20absolute%20returns" TargetMode="External" /><Relationship Type="http://schemas.openxmlformats.org/officeDocument/2006/relationships/hyperlink" Id="rId58" Target="https://arxiv.org/html/2504.13529v2" TargetMode="External" /><Relationship Type="http://schemas.openxmlformats.org/officeDocument/2006/relationships/hyperlink" Id="rId30" Target="https://arxiv.org/html/2504.13529v2#:~:text=match%20at%20L447%20In%20this,chasing%20higher%20Sharpe%20ratios%20and" TargetMode="External" /><Relationship Type="http://schemas.openxmlformats.org/officeDocument/2006/relationships/hyperlink" Id="rId59" Target="https://arxiv.org/html/2505.03659v2" TargetMode="External" /><Relationship Type="http://schemas.openxmlformats.org/officeDocument/2006/relationships/hyperlink" Id="rId31" Target="https://arxiv.org/html/2505.03659v2#:~:text=Meta,learning%20to%20time%20series" TargetMode="External" /><Relationship Type="http://schemas.openxmlformats.org/officeDocument/2006/relationships/hyperlink" Id="rId32" Target="https://arxiv.org/html/2505.03659v2#:~:text=Our%20main%20contributions%20are%20summarized,in%20three%20points" TargetMode="External" /><Relationship Type="http://schemas.openxmlformats.org/officeDocument/2006/relationships/hyperlink" Id="rId55" Target="https://arxiv.org/html/2509.14385v1" TargetMode="External" /><Relationship Type="http://schemas.openxmlformats.org/officeDocument/2006/relationships/hyperlink" Id="rId40" Target="https://arxiv.org/html/2509.14385v1#:~:text=This%20study%20proposes%20a%20regime,based%20PPO%2C%20and%20Transformer%20PPO%E2%80%94against" TargetMode="External" /><Relationship Type="http://schemas.openxmlformats.org/officeDocument/2006/relationships/hyperlink" Id="rId26" Target="https://arxiv.org/html/2509.14385v1#:~:text=integrates%20both%20asset%20returns%20and,interpretability%20under%20varying%20market%20conditions" TargetMode="External" /><Relationship Type="http://schemas.openxmlformats.org/officeDocument/2006/relationships/hyperlink" Id="rId63" Target="https://arxiv.org/html/2512.12924v1" TargetMode="External" /><Relationship Type="http://schemas.openxmlformats.org/officeDocument/2006/relationships/hyperlink" Id="rId44" Target="https://arxiv.org/html/2512.12924v1#:~:text=We%20develop%20a%20rigorous%20walk,55" TargetMode="External" /><Relationship Type="http://schemas.openxmlformats.org/officeDocument/2006/relationships/hyperlink" Id="rId45" Target="https://arxiv.org/html/2512.12924v1#:~:text=constraints,We" TargetMode="External" /><Relationship Type="http://schemas.openxmlformats.org/officeDocument/2006/relationships/hyperlink" Id="rId42" Target="https://arxiv.org/html/2512.12924v1#:~:text=repeatedly%20across%2034%20independent%20out,costs%2C%20slippage%2C%20position%20limits%2C%20and" TargetMode="External" /><Relationship Type="http://schemas.openxmlformats.org/officeDocument/2006/relationships/hyperlink" Id="rId62" Target="https://coinledger.io/research/ethereum-transaction-fees-and-gas-prices-trends-and-insights" TargetMode="External" /><Relationship Type="http://schemas.openxmlformats.org/officeDocument/2006/relationships/hyperlink" Id="rId36" Target="https://coinledger.io/research/ethereum-transaction-fees-and-gas-prices-trends-and-insights#:~:text=,to%20under%20%241%20throughout%202025" TargetMode="External" /><Relationship Type="http://schemas.openxmlformats.org/officeDocument/2006/relationships/hyperlink" Id="rId61" Target="https://coinmetrics.substack.com/p/state-of-the-network-issue-288" TargetMode="External" /><Relationship Type="http://schemas.openxmlformats.org/officeDocument/2006/relationships/hyperlink" Id="rId35" Target="https://coinmetrics.substack.com/p/state-of-the-network-issue-288#:~:text=Today%2C%20the%20nominal%20ETH%20staking,rewards%20and%20Execution%20Layer%20rewards" TargetMode="External" /><Relationship Type="http://schemas.openxmlformats.org/officeDocument/2006/relationships/hyperlink" Id="rId37" Target="https://coinmetrics.substack.com/p/state-of-the-network-issue-288#:~:text=hand%2C%20are%20tied%20to%20the,and%20therefore%2C%20execution%20layer%20rewards" TargetMode="External" /><Relationship Type="http://schemas.openxmlformats.org/officeDocument/2006/relationships/hyperlink" Id="rId54" Target="https://economics.yale.edu/sites/default/files/Forms/zhu_brian_senior_essay_econ_492.pdf" TargetMode="External" /><Relationship Type="http://schemas.openxmlformats.org/officeDocument/2006/relationships/hyperlink" Id="rId24" Target="https://economics.yale.edu/sites/default/files/Forms/zhu_brian_senior_essay_econ_492.pdf#:~:text=I%20consider%20regime,I%20provide%20two%20applications%20of" TargetMode="External" /><Relationship Type="http://schemas.openxmlformats.org/officeDocument/2006/relationships/hyperlink" Id="rId57" Target="https://thevoice.bse.eu/wp-content/uploads/2020/09/project-fin20-ozkaya-wang.pdf" TargetMode="External" /><Relationship Type="http://schemas.openxmlformats.org/officeDocument/2006/relationships/hyperlink" Id="rId29" Target="https://thevoice.bse.eu/wp-content/uploads/2020/09/project-fin20-ozkaya-wang.pdf#:~:text=algorithms%20applied%20to%20portfolio%20choice,fully%20automated%20portfolio%20allocation%20framework" TargetMode="External" /><Relationship Type="http://schemas.openxmlformats.org/officeDocument/2006/relationships/hyperlink" Id="rId60" Target="https://www.researchgate.net/publication/362660222_Portfolio_optimization_using_Artificial_Intelligence_a_systematic_literature_review" TargetMode="External" /><Relationship Type="http://schemas.openxmlformats.org/officeDocument/2006/relationships/hyperlink" Id="rId33" Target="https://www.researchgate.net/publication/362660222_Portfolio_optimization_using_Artificial_Intelligence_a_systematic_literature_review#:~:text=The%20analyzes%20of%20selected%20works,AI%20used%20for%20p%20ortfolio" TargetMode="External" /><Relationship Type="http://schemas.openxmlformats.org/officeDocument/2006/relationships/hyperlink" Id="rId52" Target="https://www.researchgate.net/publication/379920196_Multi-factor_Models_in_Finance" TargetMode="External" /><Relationship Type="http://schemas.openxmlformats.org/officeDocument/2006/relationships/hyperlink" Id="rId22" Target="https://www.researchgate.net/publication/379920196_Multi-factor_Models_in_Finance#:~:text=This%20literature%20review%20explores%20the,Despite" TargetMode="External" /><Relationship Type="http://schemas.openxmlformats.org/officeDocument/2006/relationships/hyperlink" Id="rId53" Target="https://www.researchgate.net/publication/397094248_Multi-Regime_Reinforcement_Learning_for_Adaptive_Portfolio_Optimization" TargetMode="External" /><Relationship Type="http://schemas.openxmlformats.org/officeDocument/2006/relationships/hyperlink" Id="rId27" Target="https://www.researchgate.net/publication/397094248_Multi-Regime_Reinforcement_Learning_for_Adaptive_Portfolio_Optimization#:~:text=Deep%20reinforcement%20learning%20has%20recently,been%20applied%20to" TargetMode="External" /><Relationship Type="http://schemas.openxmlformats.org/officeDocument/2006/relationships/hyperlink" Id="rId23" Target="https://www.researchgate.net/publication/397094248_Multi-Regime_Reinforcement_Learning_for_Adaptive_Portfolio_Optimization#:~:text=This%20paper%20presents%20a%20technical,The%20paper%20outlines%20methodology%2C%20implementation" TargetMode="External" /><Relationship Type="http://schemas.openxmlformats.org/officeDocument/2006/relationships/hyperlink" Id="rId41" Target="https://www.researchgate.net/publication/397094248_Multi-Regime_Reinforcement_Learning_for_Adaptive_Portfolio_Optimization#:~:text=bilistic%20market,learning%20to" TargetMode="External" /><Relationship Type="http://schemas.openxmlformats.org/officeDocument/2006/relationships/hyperlink" Id="rId25" Target="https://www.researchgate.net/publication/397094248_Multi-Regime_Reinforcement_Learning_for_Adaptive_Portfolio_Optimization#:~:text=to%20learn%20allocation%20strategies%20across,Experimental"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2602.17098" TargetMode="External" /><Relationship Type="http://schemas.openxmlformats.org/officeDocument/2006/relationships/hyperlink" Id="rId28" Target="https://arxiv.org/abs/2602.17098#:~:text=,maximum%20drawdowns%2C%20and%20absolute%20returns" TargetMode="External" /><Relationship Type="http://schemas.openxmlformats.org/officeDocument/2006/relationships/hyperlink" Id="rId58" Target="https://arxiv.org/html/2504.13529v2" TargetMode="External" /><Relationship Type="http://schemas.openxmlformats.org/officeDocument/2006/relationships/hyperlink" Id="rId30" Target="https://arxiv.org/html/2504.13529v2#:~:text=match%20at%20L447%20In%20this,chasing%20higher%20Sharpe%20ratios%20and" TargetMode="External" /><Relationship Type="http://schemas.openxmlformats.org/officeDocument/2006/relationships/hyperlink" Id="rId59" Target="https://arxiv.org/html/2505.03659v2" TargetMode="External" /><Relationship Type="http://schemas.openxmlformats.org/officeDocument/2006/relationships/hyperlink" Id="rId31" Target="https://arxiv.org/html/2505.03659v2#:~:text=Meta,learning%20to%20time%20series" TargetMode="External" /><Relationship Type="http://schemas.openxmlformats.org/officeDocument/2006/relationships/hyperlink" Id="rId32" Target="https://arxiv.org/html/2505.03659v2#:~:text=Our%20main%20contributions%20are%20summarized,in%20three%20points" TargetMode="External" /><Relationship Type="http://schemas.openxmlformats.org/officeDocument/2006/relationships/hyperlink" Id="rId55" Target="https://arxiv.org/html/2509.14385v1" TargetMode="External" /><Relationship Type="http://schemas.openxmlformats.org/officeDocument/2006/relationships/hyperlink" Id="rId40" Target="https://arxiv.org/html/2509.14385v1#:~:text=This%20study%20proposes%20a%20regime,based%20PPO%2C%20and%20Transformer%20PPO%E2%80%94against" TargetMode="External" /><Relationship Type="http://schemas.openxmlformats.org/officeDocument/2006/relationships/hyperlink" Id="rId26" Target="https://arxiv.org/html/2509.14385v1#:~:text=integrates%20both%20asset%20returns%20and,interpretability%20under%20varying%20market%20conditions" TargetMode="External" /><Relationship Type="http://schemas.openxmlformats.org/officeDocument/2006/relationships/hyperlink" Id="rId63" Target="https://arxiv.org/html/2512.12924v1" TargetMode="External" /><Relationship Type="http://schemas.openxmlformats.org/officeDocument/2006/relationships/hyperlink" Id="rId44" Target="https://arxiv.org/html/2512.12924v1#:~:text=We%20develop%20a%20rigorous%20walk,55" TargetMode="External" /><Relationship Type="http://schemas.openxmlformats.org/officeDocument/2006/relationships/hyperlink" Id="rId45" Target="https://arxiv.org/html/2512.12924v1#:~:text=constraints,We" TargetMode="External" /><Relationship Type="http://schemas.openxmlformats.org/officeDocument/2006/relationships/hyperlink" Id="rId42" Target="https://arxiv.org/html/2512.12924v1#:~:text=repeatedly%20across%2034%20independent%20out,costs%2C%20slippage%2C%20position%20limits%2C%20and" TargetMode="External" /><Relationship Type="http://schemas.openxmlformats.org/officeDocument/2006/relationships/hyperlink" Id="rId62" Target="https://coinledger.io/research/ethereum-transaction-fees-and-gas-prices-trends-and-insights" TargetMode="External" /><Relationship Type="http://schemas.openxmlformats.org/officeDocument/2006/relationships/hyperlink" Id="rId36" Target="https://coinledger.io/research/ethereum-transaction-fees-and-gas-prices-trends-and-insights#:~:text=,to%20under%20%241%20throughout%202025" TargetMode="External" /><Relationship Type="http://schemas.openxmlformats.org/officeDocument/2006/relationships/hyperlink" Id="rId61" Target="https://coinmetrics.substack.com/p/state-of-the-network-issue-288" TargetMode="External" /><Relationship Type="http://schemas.openxmlformats.org/officeDocument/2006/relationships/hyperlink" Id="rId35" Target="https://coinmetrics.substack.com/p/state-of-the-network-issue-288#:~:text=Today%2C%20the%20nominal%20ETH%20staking,rewards%20and%20Execution%20Layer%20rewards" TargetMode="External" /><Relationship Type="http://schemas.openxmlformats.org/officeDocument/2006/relationships/hyperlink" Id="rId37" Target="https://coinmetrics.substack.com/p/state-of-the-network-issue-288#:~:text=hand%2C%20are%20tied%20to%20the,and%20therefore%2C%20execution%20layer%20rewards" TargetMode="External" /><Relationship Type="http://schemas.openxmlformats.org/officeDocument/2006/relationships/hyperlink" Id="rId54" Target="https://economics.yale.edu/sites/default/files/Forms/zhu_brian_senior_essay_econ_492.pdf" TargetMode="External" /><Relationship Type="http://schemas.openxmlformats.org/officeDocument/2006/relationships/hyperlink" Id="rId24" Target="https://economics.yale.edu/sites/default/files/Forms/zhu_brian_senior_essay_econ_492.pdf#:~:text=I%20consider%20regime,I%20provide%20two%20applications%20of" TargetMode="External" /><Relationship Type="http://schemas.openxmlformats.org/officeDocument/2006/relationships/hyperlink" Id="rId57" Target="https://thevoice.bse.eu/wp-content/uploads/2020/09/project-fin20-ozkaya-wang.pdf" TargetMode="External" /><Relationship Type="http://schemas.openxmlformats.org/officeDocument/2006/relationships/hyperlink" Id="rId29" Target="https://thevoice.bse.eu/wp-content/uploads/2020/09/project-fin20-ozkaya-wang.pdf#:~:text=algorithms%20applied%20to%20portfolio%20choice,fully%20automated%20portfolio%20allocation%20framework" TargetMode="External" /><Relationship Type="http://schemas.openxmlformats.org/officeDocument/2006/relationships/hyperlink" Id="rId60" Target="https://www.researchgate.net/publication/362660222_Portfolio_optimization_using_Artificial_Intelligence_a_systematic_literature_review" TargetMode="External" /><Relationship Type="http://schemas.openxmlformats.org/officeDocument/2006/relationships/hyperlink" Id="rId33" Target="https://www.researchgate.net/publication/362660222_Portfolio_optimization_using_Artificial_Intelligence_a_systematic_literature_review#:~:text=The%20analyzes%20of%20selected%20works,AI%20used%20for%20p%20ortfolio" TargetMode="External" /><Relationship Type="http://schemas.openxmlformats.org/officeDocument/2006/relationships/hyperlink" Id="rId52" Target="https://www.researchgate.net/publication/379920196_Multi-factor_Models_in_Finance" TargetMode="External" /><Relationship Type="http://schemas.openxmlformats.org/officeDocument/2006/relationships/hyperlink" Id="rId22" Target="https://www.researchgate.net/publication/379920196_Multi-factor_Models_in_Finance#:~:text=This%20literature%20review%20explores%20the,Despite" TargetMode="External" /><Relationship Type="http://schemas.openxmlformats.org/officeDocument/2006/relationships/hyperlink" Id="rId53" Target="https://www.researchgate.net/publication/397094248_Multi-Regime_Reinforcement_Learning_for_Adaptive_Portfolio_Optimization" TargetMode="External" /><Relationship Type="http://schemas.openxmlformats.org/officeDocument/2006/relationships/hyperlink" Id="rId27" Target="https://www.researchgate.net/publication/397094248_Multi-Regime_Reinforcement_Learning_for_Adaptive_Portfolio_Optimization#:~:text=Deep%20reinforcement%20learning%20has%20recently,been%20applied%20to" TargetMode="External" /><Relationship Type="http://schemas.openxmlformats.org/officeDocument/2006/relationships/hyperlink" Id="rId23" Target="https://www.researchgate.net/publication/397094248_Multi-Regime_Reinforcement_Learning_for_Adaptive_Portfolio_Optimization#:~:text=This%20paper%20presents%20a%20technical,The%20paper%20outlines%20methodology%2C%20implementation" TargetMode="External" /><Relationship Type="http://schemas.openxmlformats.org/officeDocument/2006/relationships/hyperlink" Id="rId41" Target="https://www.researchgate.net/publication/397094248_Multi-Regime_Reinforcement_Learning_for_Adaptive_Portfolio_Optimization#:~:text=bilistic%20market,learning%20to" TargetMode="External" /><Relationship Type="http://schemas.openxmlformats.org/officeDocument/2006/relationships/hyperlink" Id="rId25" Target="https://www.researchgate.net/publication/397094248_Multi-Regime_Reinforcement_Learning_for_Adaptive_Portfolio_Optimization#:~:text=to%20learn%20allocation%20strategies%20across,Experimen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2026-03-25T04:24:45Z</dcterms:created>
  <dcterms:modified xsi:type="dcterms:W3CDTF">2026-03-25T04:24:45Z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