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BTC–ETH Decoupling and the Rise of Ethereum as Productive Capital</w:t>
      </w:r>
    </w:p>
    <w:p>
      <w:pPr>
        <w:spacing w:after="120"/>
        <w:jc w:val="center"/>
      </w:pPr>
      <w:r>
        <w:rPr>
          <w:rFonts w:ascii="Times New Roman" w:hAnsi="Times New Roman"/>
          <w:b/>
          <w:sz w:val="32"/>
        </w:rPr>
        <w:t>(2026–2027)</w:t>
      </w:r>
    </w:p>
    <w:p>
      <w:pPr>
        <w:spacing w:after="0" w:before="0"/>
        <w:jc w:val="center"/>
      </w:pPr>
      <w:r>
        <w:rPr>
          <w:rFonts w:ascii="Times New Roman" w:hAnsi="Times New Roman"/>
          <w:b/>
          <w:sz w:val="22"/>
        </w:rPr>
        <w:t>Mingwei Zhang</w:t>
      </w:r>
    </w:p>
    <w:p>
      <w:pPr>
        <w:spacing w:after="0" w:before="0"/>
        <w:jc w:val="center"/>
      </w:pPr>
      <w:r>
        <w:rPr>
          <w:rFonts w:ascii="Times New Roman" w:hAnsi="Times New Roman"/>
          <w:b w:val="0"/>
          <w:sz w:val="22"/>
        </w:rPr>
        <w:t>Independent Researcher</w:t>
      </w:r>
    </w:p>
    <w:p>
      <w:pPr>
        <w:spacing w:after="0" w:before="0"/>
        <w:jc w:val="center"/>
      </w:pPr>
      <w:r>
        <w:rPr>
          <w:rFonts w:ascii="Times New Roman" w:hAnsi="Times New Roman"/>
          <w:b w:val="0"/>
          <w:sz w:val="22"/>
        </w:rPr>
        <w:t>Singapore</w:t>
      </w:r>
    </w:p>
    <w:p>
      <w:pPr>
        <w:spacing w:after="0" w:before="0"/>
        <w:jc w:val="center"/>
      </w:pPr>
      <w:r>
        <w:rPr>
          <w:rFonts w:ascii="Times New Roman" w:hAnsi="Times New Roman"/>
          <w:b w:val="0"/>
          <w:sz w:val="22"/>
        </w:rPr>
        <w:t>March 2026</w:t>
      </w:r>
    </w:p>
    <w:p>
      <w:pPr>
        <w:spacing w:before="240" w:after="120"/>
      </w:pPr>
      <w:r>
        <w:rPr>
          <w:rFonts w:ascii="Times New Roman" w:hAnsi="Times New Roman"/>
          <w:b/>
          <w:sz w:val="22"/>
        </w:rPr>
        <w:t>Abstract</w:t>
      </w:r>
    </w:p>
    <w:p>
      <w:pPr>
        <w:spacing w:after="80" w:line="276" w:lineRule="auto"/>
        <w:jc w:val="both"/>
      </w:pPr>
      <w:r>
        <w:rPr>
          <w:rFonts w:ascii="Times New Roman" w:hAnsi="Times New Roman"/>
          <w:sz w:val="20"/>
        </w:rPr>
        <w:t>Historically, Bitcoin (BTC) and Ethereum (ETH) have exhibited strong positive correlation, often driven by shared liquidity</w:t>
        <w:br/>
        <w:t>cycles and broad macro sentiment across digital assets. However, as market structure matures and Ethereum’s economic</w:t>
        <w:br/>
        <w:t>profile becomes more differentiated, this long-standing relationship may weaken. This research note evaluates the possibility</w:t>
        <w:br/>
        <w:t>of a partial BTC–ETH decoupling over the next 12–24 months using three lenses: rolling correlation, ETH/BTC relative-</w:t>
        <w:br/>
        <w:t>strength behavior, and Ethereum’s transition toward productive digital capital.</w:t>
      </w:r>
    </w:p>
    <w:p>
      <w:pPr>
        <w:sectPr>
          <w:pgSz w:w="12240" w:h="15840"/>
          <w:pgMar w:top="1440" w:right="1440" w:bottom="1440" w:left="1440" w:header="720" w:footer="720" w:gutter="0"/>
          <w:cols w:space="720" w:num="1"/>
          <w:docGrid w:linePitch="360"/>
        </w:sectPr>
      </w:pPr>
    </w:p>
    <w:p>
      <w:pPr>
        <w:spacing w:before="200" w:after="80"/>
      </w:pPr>
      <w:r>
        <w:rPr>
          <w:rFonts w:ascii="Times New Roman" w:hAnsi="Times New Roman"/>
          <w:b/>
          <w:sz w:val="22"/>
        </w:rPr>
        <w:t>1. Historical Correlation Structure</w:t>
      </w:r>
    </w:p>
    <w:p>
      <w:pPr>
        <w:spacing w:after="80" w:line="276" w:lineRule="auto"/>
        <w:jc w:val="both"/>
      </w:pPr>
      <w:r>
        <w:rPr>
          <w:rFonts w:ascii="Times New Roman" w:hAnsi="Times New Roman"/>
          <w:sz w:val="20"/>
        </w:rPr>
        <w:t>For much of the modern crypto cycle, BTC and ETH returns moved in close alignment. Market commentary and institutional research frequently described the pair as part of a single-beta crypto complex, particularly during 2017–2022 when both assets were dominated by the same liquidity regime and retail-risk appetite [1][2].</w:t>
        <w:br/>
      </w:r>
    </w:p>
    <w:p>
      <w:pPr>
        <w:sectPr>
          <w:type w:val="continuous"/>
          <w:pgSz w:w="12240" w:h="15840"/>
          <w:pgMar w:top="1440" w:right="1440" w:bottom="1440" w:left="1440" w:header="720" w:footer="720" w:gutter="0"/>
          <w:cols w:space="12" w:num="2"/>
          <w:docGrid w:linePitch="360"/>
        </w:sectPr>
      </w:pPr>
    </w:p>
    <w:p>
      <w:pPr>
        <w:keepNext/>
        <w:spacing w:before="160" w:after="80"/>
      </w:pPr>
      <w:r>
        <w:rPr>
          <w:rFonts w:ascii="Times New Roman" w:hAnsi="Times New Roman"/>
          <w:b/>
          <w:i/>
          <w:sz w:val="18"/>
        </w:rPr>
        <w:t>Table 1. BTC–ETH Rolling Correlation Decoupling Framework</w:t>
      </w:r>
    </w:p>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rFonts w:ascii="Times New Roman" w:hAnsi="Times New Roman"/>
                <w:sz w:val="16"/>
              </w:rPr>
              <w:t>Indicator Type</w:t>
            </w:r>
          </w:p>
        </w:tc>
        <w:tc>
          <w:tcPr>
            <w:tcW w:type="dxa" w:w="2340"/>
          </w:tcPr>
          <w:p>
            <w:r>
              <w:rPr>
                <w:rFonts w:ascii="Times New Roman" w:hAnsi="Times New Roman"/>
                <w:sz w:val="16"/>
              </w:rPr>
              <w:t>Rolling Window</w:t>
            </w:r>
          </w:p>
        </w:tc>
        <w:tc>
          <w:tcPr>
            <w:tcW w:type="dxa" w:w="2340"/>
          </w:tcPr>
          <w:p>
            <w:r>
              <w:rPr>
                <w:rFonts w:ascii="Times New Roman" w:hAnsi="Times New Roman"/>
                <w:sz w:val="16"/>
              </w:rPr>
              <w:t>Interpretation</w:t>
            </w:r>
          </w:p>
        </w:tc>
        <w:tc>
          <w:tcPr>
            <w:tcW w:type="dxa" w:w="2340"/>
          </w:tcPr>
          <w:p>
            <w:r>
              <w:rPr>
                <w:rFonts w:ascii="Times New Roman" w:hAnsi="Times New Roman"/>
                <w:sz w:val="16"/>
              </w:rPr>
              <w:t>Decoupling Trigger</w:t>
            </w:r>
          </w:p>
        </w:tc>
      </w:tr>
      <w:tr>
        <w:trPr>
          <w:cantSplit/>
        </w:trPr>
        <w:tc>
          <w:tcPr>
            <w:tcW w:type="dxa" w:w="2340"/>
          </w:tcPr>
          <w:p>
            <w:r>
              <w:rPr>
                <w:rFonts w:ascii="Times New Roman" w:hAnsi="Times New Roman"/>
                <w:sz w:val="16"/>
              </w:rPr>
              <w:t>Short-term sensitivity</w:t>
            </w:r>
          </w:p>
        </w:tc>
        <w:tc>
          <w:tcPr>
            <w:tcW w:type="dxa" w:w="2340"/>
          </w:tcPr>
          <w:p>
            <w:r>
              <w:rPr>
                <w:rFonts w:ascii="Times New Roman" w:hAnsi="Times New Roman"/>
                <w:sz w:val="16"/>
              </w:rPr>
              <w:t>20-day</w:t>
            </w:r>
          </w:p>
        </w:tc>
        <w:tc>
          <w:tcPr>
            <w:tcW w:type="dxa" w:w="2340"/>
          </w:tcPr>
          <w:p>
            <w:r>
              <w:rPr>
                <w:rFonts w:ascii="Times New Roman" w:hAnsi="Times New Roman"/>
                <w:sz w:val="16"/>
              </w:rPr>
              <w:t>Detects fast shifts in co-movement</w:t>
            </w:r>
          </w:p>
        </w:tc>
        <w:tc>
          <w:tcPr>
            <w:tcW w:type="dxa" w:w="2340"/>
          </w:tcPr>
          <w:p>
            <w:r>
              <w:rPr>
                <w:rFonts w:ascii="Times New Roman" w:hAnsi="Times New Roman"/>
                <w:sz w:val="16"/>
              </w:rPr>
              <w:t>&lt; 0.20</w:t>
            </w:r>
          </w:p>
        </w:tc>
      </w:tr>
      <w:tr>
        <w:trPr>
          <w:cantSplit/>
        </w:trPr>
        <w:tc>
          <w:tcPr>
            <w:tcW w:type="dxa" w:w="2340"/>
          </w:tcPr>
          <w:p>
            <w:r>
              <w:rPr>
                <w:rFonts w:ascii="Times New Roman" w:hAnsi="Times New Roman"/>
                <w:sz w:val="16"/>
              </w:rPr>
              <w:t>Medium-term confirmation</w:t>
            </w:r>
          </w:p>
        </w:tc>
        <w:tc>
          <w:tcPr>
            <w:tcW w:type="dxa" w:w="2340"/>
          </w:tcPr>
          <w:p>
            <w:r>
              <w:rPr>
                <w:rFonts w:ascii="Times New Roman" w:hAnsi="Times New Roman"/>
                <w:sz w:val="16"/>
              </w:rPr>
              <w:t>60-day</w:t>
            </w:r>
          </w:p>
        </w:tc>
        <w:tc>
          <w:tcPr>
            <w:tcW w:type="dxa" w:w="2340"/>
          </w:tcPr>
          <w:p>
            <w:r>
              <w:rPr>
                <w:rFonts w:ascii="Times New Roman" w:hAnsi="Times New Roman"/>
                <w:sz w:val="16"/>
              </w:rPr>
              <w:t>Filters short-lived noise</w:t>
            </w:r>
          </w:p>
        </w:tc>
        <w:tc>
          <w:tcPr>
            <w:tcW w:type="dxa" w:w="2340"/>
          </w:tcPr>
          <w:p>
            <w:r>
              <w:rPr>
                <w:rFonts w:ascii="Times New Roman" w:hAnsi="Times New Roman"/>
                <w:sz w:val="16"/>
              </w:rPr>
              <w:t>&lt; 0.30</w:t>
            </w:r>
          </w:p>
        </w:tc>
      </w:tr>
      <w:tr>
        <w:trPr>
          <w:cantSplit/>
        </w:trPr>
        <w:tc>
          <w:tcPr>
            <w:tcW w:type="dxa" w:w="2340"/>
          </w:tcPr>
          <w:p>
            <w:r>
              <w:rPr>
                <w:rFonts w:ascii="Times New Roman" w:hAnsi="Times New Roman"/>
                <w:sz w:val="16"/>
              </w:rPr>
              <w:t>Long-term structural trend</w:t>
            </w:r>
          </w:p>
        </w:tc>
        <w:tc>
          <w:tcPr>
            <w:tcW w:type="dxa" w:w="2340"/>
          </w:tcPr>
          <w:p>
            <w:r>
              <w:rPr>
                <w:rFonts w:ascii="Times New Roman" w:hAnsi="Times New Roman"/>
                <w:sz w:val="16"/>
              </w:rPr>
              <w:t>120-day</w:t>
            </w:r>
          </w:p>
        </w:tc>
        <w:tc>
          <w:tcPr>
            <w:tcW w:type="dxa" w:w="2340"/>
          </w:tcPr>
          <w:p>
            <w:r>
              <w:rPr>
                <w:rFonts w:ascii="Times New Roman" w:hAnsi="Times New Roman"/>
                <w:sz w:val="16"/>
              </w:rPr>
              <w:t>Captures regime change</w:t>
            </w:r>
          </w:p>
        </w:tc>
        <w:tc>
          <w:tcPr>
            <w:tcW w:type="dxa" w:w="2340"/>
          </w:tcPr>
          <w:p>
            <w:r>
              <w:rPr>
                <w:rFonts w:ascii="Times New Roman" w:hAnsi="Times New Roman"/>
                <w:sz w:val="16"/>
              </w:rPr>
              <w:t>&lt; 0.40</w:t>
            </w:r>
          </w:p>
        </w:tc>
      </w:tr>
    </w:tbl>
    <w:p>
      <w:pPr>
        <w:spacing w:after="120"/>
        <w:jc w:val="both"/>
      </w:pPr>
      <w:r>
        <w:rPr>
          <w:rFonts w:ascii="Times New Roman" w:hAnsi="Times New Roman"/>
          <w:sz w:val="18"/>
        </w:rPr>
        <w:t>Table 1 summarizes the rolling-correlation framework used to assess whether BTC and ETH are moving from a shared-liquidity regime toward structurally differentiated behavior.</w:t>
      </w:r>
    </w:p>
    <w:p>
      <w:pPr>
        <w:sectPr>
          <w:type w:val="continuous"/>
          <w:pgSz w:w="12240" w:h="15840"/>
          <w:pgMar w:top="1440" w:right="1440" w:bottom="1440" w:left="1440" w:header="720" w:footer="720" w:gutter="0"/>
          <w:cols w:space="12" w:num="1"/>
          <w:docGrid w:linePitch="360"/>
        </w:sectPr>
      </w:pPr>
    </w:p>
    <w:p>
      <w:pPr>
        <w:spacing w:before="200" w:after="80"/>
      </w:pPr>
      <w:r>
        <w:rPr>
          <w:rFonts w:ascii="Times New Roman" w:hAnsi="Times New Roman"/>
          <w:b/>
          <w:sz w:val="22"/>
        </w:rPr>
        <w:t>2. ETH/BTC Relative Strength as a Pricing Mechanism</w:t>
      </w:r>
    </w:p>
    <w:p>
      <w:pPr>
        <w:spacing w:after="80" w:line="276" w:lineRule="auto"/>
        <w:jc w:val="both"/>
      </w:pPr>
      <w:r>
        <w:rPr>
          <w:rFonts w:ascii="Times New Roman" w:hAnsi="Times New Roman"/>
          <w:sz w:val="20"/>
        </w:rPr>
        <w:t>The ETH/BTC exchange rate is the market’s direct pricing mechanism for the relative economic value of the two networks. When ETH/BTC rises, the market is implicitly assigning greater value to Ethereum’s cash-flow-like, utility-linked, or growth-linked characteristics relative to Bitcoin’s monetary narrative.</w:t>
        <w:br/>
      </w:r>
    </w:p>
    <w:p>
      <w:pPr>
        <w:sectPr>
          <w:type w:val="continuous"/>
          <w:pgSz w:w="12240" w:h="15840"/>
          <w:pgMar w:top="1440" w:right="1440" w:bottom="1440" w:left="1440" w:header="720" w:footer="720" w:gutter="0"/>
          <w:cols w:space="12" w:num="2"/>
          <w:docGrid w:linePitch="360"/>
        </w:sectPr>
      </w:pPr>
    </w:p>
    <w:p>
      <w:pPr>
        <w:spacing w:before="200" w:after="80"/>
      </w:pPr>
      <w:r>
        <w:rPr>
          <w:rFonts w:ascii="Times New Roman" w:hAnsi="Times New Roman"/>
          <w:b/>
          <w:sz w:val="22"/>
        </w:rPr>
        <w:t>AI Assistance Disclosure</w:t>
      </w:r>
    </w:p>
    <w:p>
      <w:pPr>
        <w:spacing w:after="80" w:line="276" w:lineRule="auto"/>
        <w:jc w:val="both"/>
      </w:pPr>
      <w:r>
        <w:rPr>
          <w:rFonts w:ascii="Times New Roman" w:hAnsi="Times New Roman"/>
          <w:sz w:val="20"/>
        </w:rPr>
        <w:t>Portions of this research note were developed with the assistance of AI-based analytical and editorial tools to support research synthesis, language refinement, and structural organization. All analytical frameworks, interpretations, and investment perspectives presented in this report are independently developed and remain the sole responsibility of the author.</w:t>
      </w:r>
    </w:p>
    <w:p>
      <w:pPr>
        <w:spacing w:before="200" w:after="80"/>
      </w:pPr>
      <w:r>
        <w:rPr>
          <w:rFonts w:ascii="Times New Roman" w:hAnsi="Times New Roman"/>
          <w:b/>
          <w:sz w:val="22"/>
        </w:rPr>
        <w:t>References</w:t>
      </w:r>
    </w:p>
    <w:p>
      <w:pPr>
        <w:spacing w:after="40" w:line="240" w:lineRule="auto"/>
      </w:pPr>
      <w:r>
        <w:rPr>
          <w:rFonts w:ascii="Times New Roman" w:hAnsi="Times New Roman"/>
          <w:sz w:val="18"/>
        </w:rPr>
        <w:t>[1] "Price Correlation Between Major Cryptocurrencies and Memecoins (2019–2024)," Medium, accessed Mar. 6, 2026.</w:t>
      </w:r>
    </w:p>
    <w:p>
      <w:pPr>
        <w:spacing w:after="40" w:line="240" w:lineRule="auto"/>
      </w:pPr>
      <w:r>
        <w:rPr>
          <w:rFonts w:ascii="Times New Roman" w:hAnsi="Times New Roman"/>
          <w:sz w:val="18"/>
        </w:rPr>
        <w:t>[2] Coinbase Institutional, "Lower BTC vs ETH correlation," Weekly Market Commentary, accessed Mar. 6, 2026.</w:t>
      </w:r>
    </w:p>
    <w:sectPr w:rsidR="00FC693F" w:rsidRPr="0006063C" w:rsidSect="00034616">
      <w:type w:val="continuous"/>
      <w:pgSz w:w="12240" w:h="15840"/>
      <w:pgMar w:top="1440" w:right="1440" w:bottom="1440" w:left="1440" w:header="720" w:footer="720" w:gutter="0"/>
      <w:cols w:space="12"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