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237E"/>
          <w:sz w:val="64"/>
          <w:szCs w:val="64"/>
        </w:rPr>
        <w:t xml:space="preserve">PratoMiMuovo</w:t>
      </w:r>
    </w:p>
    <w:p>
      <w:pPr>
        <w:spacing w:after="120" w:before="0"/>
        <w:jc w:val="center"/>
      </w:pPr>
      <w:r>
        <w:rPr>
          <w:rFonts w:ascii="Arial" w:cs="Arial" w:eastAsia="Arial" w:hAnsi="Arial"/>
          <w:color w:val="1565C0"/>
          <w:sz w:val="36"/>
          <w:szCs w:val="36"/>
        </w:rPr>
        <w:t xml:space="preserve">Specifica Tecnica Architetturale e Funzionale</w:t>
      </w:r>
    </w:p>
    <w:p>
      <w:pPr>
        <w:pBdr>
          <w:bottom w:val="single" w:color="1565C0" w:sz="4" w:space="1"/>
        </w:pBdr>
        <w:spacing w:after="160" w:before="160"/>
      </w:pPr>
    </w:p>
    <w:p>
      <w:pPr>
        <w:spacing w:after="80" w:before="80"/>
        <w:jc w:val="center"/>
      </w:pPr>
      <w:r>
        <w:rPr>
          <w:rFonts w:ascii="Arial" w:cs="Arial" w:eastAsia="Arial" w:hAnsi="Arial"/>
          <w:i/>
          <w:iCs/>
          <w:color w:val="555555"/>
          <w:sz w:val="26"/>
          <w:szCs w:val="26"/>
        </w:rPr>
        <w:t xml:space="preserve">Sistema di Smart Mobility per la città di Prato</w:t>
      </w:r>
    </w:p>
    <w:p>
      <w:pPr>
        <w:spacing w:after="60" w:before="60"/>
        <w:jc w:val="center"/>
      </w:pPr>
      <w:r>
        <w:rPr>
          <w:rFonts w:ascii="Arial" w:cs="Arial" w:eastAsia="Arial" w:hAnsi="Arial"/>
          <w:color w:val="888888"/>
          <w:sz w:val="22"/>
          <w:szCs w:val="22"/>
        </w:rPr>
        <w:t xml:space="preserve">Versione 1.0  —  Aprile 2026</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Progetto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#PratoMiMuovo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Tipologia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Progetto di Innovazione per la Mobilità Urbana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Città</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Prato (PO) — Toscana, Italia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Autore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Matteo Tempestini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Stato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Specifica Tecnica — Draft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Aprile 2026</w:t>
            </w:r>
          </w:p>
        </w:tc>
      </w:tr>
    </w:tbl>
    <w:p>
      <w:r>
        <w:br w:type="page"/>
      </w:r>
    </w:p>
    <w:p>
      <w:pPr>
        <w:pStyle w:val="Heading1"/>
        <w:spacing w:after="180" w:before="300"/>
      </w:pPr>
      <w:r>
        <w:rPr>
          <w:rFonts w:ascii="Arial" w:cs="Arial" w:eastAsia="Arial" w:hAnsi="Arial"/>
          <w:b/>
          <w:bCs/>
          <w:color w:val="1A237E"/>
          <w:sz w:val="32"/>
          <w:szCs w:val="32"/>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00"/>
      </w:pPr>
      <w:r>
        <w:rPr>
          <w:rFonts w:ascii="Arial" w:cs="Arial" w:eastAsia="Arial" w:hAnsi="Arial"/>
          <w:b/>
          <w:bCs/>
          <w:color w:val="1A237E"/>
          <w:sz w:val="32"/>
          <w:szCs w:val="32"/>
        </w:rPr>
        <w:t xml:space="preserve">1. Executive Summary</w:t>
      </w:r>
    </w:p>
    <w:p>
      <w:pPr>
        <w:spacing w:after="80" w:before="80" w:line="320"/>
      </w:pPr>
      <w:r>
        <w:rPr>
          <w:rFonts w:ascii="Arial" w:cs="Arial" w:eastAsia="Arial" w:hAnsi="Arial"/>
          <w:color w:val="212121"/>
          <w:sz w:val="22"/>
          <w:szCs w:val="22"/>
        </w:rPr>
        <w:t xml:space="preserve">#PratoMiMuovo è un progetto di innovazione per la mobilità urbana della città di Prato. L'obiettivo è trasformare la gestione del traffico da un modello statico — basato su cicli semaforici a tempo fisso, decisi a priori e indipendenti dalla situazione reale — a un sistema reattivo e intelligente, in grado di prendere decisioni in tempo reale sulla base di dati raccolti da una rete di sensori distribuiti sul territorio.</w:t>
      </w:r>
    </w:p>
    <w:p>
      <w:pPr>
        <w:spacing w:after="80" w:before="80" w:line="320"/>
      </w:pPr>
      <w:r>
        <w:rPr>
          <w:rFonts w:ascii="Arial" w:cs="Arial" w:eastAsia="Arial" w:hAnsi="Arial"/>
          <w:color w:val="212121"/>
          <w:sz w:val="22"/>
          <w:szCs w:val="22"/>
        </w:rPr>
        <w:t xml:space="preserve">Il sistema si ispira alla metafora del corpo umano: la città necessita di Occhi (sensori per vedere la realtà), un Cervello (software di intelligenza artificiale per analizzare e decidere) e Muscoli (attuatori per agire sulla realtà stradale). L'architettura tecnologica è progettata su open standard internazionali per garantire indipendenza dai fornitori, interoperabilità tra sistemi e apertura dei dati alla comunità.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thick" w:color="1565C0" w:sz="12"/>
              <w:bottom w:val="single" w:color="1565C0" w:sz="3"/>
              <w:right w:val="single" w:color="1565C0" w:sz="1"/>
            </w:tcBorders>
            <w:shd w:fill="DDEEFF" w:val="clear"/>
            <w:tcMar>
              <w:top w:type="dxa" w:w="80"/>
              <w:left w:type="dxa" w:w="160"/>
              <w:bottom w:type="dxa" w:w="80"/>
              <w:right w:type="dxa" w:w="160"/>
            </w:tcMar>
          </w:tcPr>
          <w:p>
            <w:r>
              <w:rPr>
                <w:rFonts w:ascii="Arial" w:cs="Arial" w:eastAsia="Arial" w:hAnsi="Arial"/>
                <w:color w:val="212121"/>
                <w:sz w:val="20"/>
                <w:szCs w:val="20"/>
              </w:rPr>
              <w:t xml:space="preserve">L'obiettivo non è eliminare il traffico — che è impossibile — ma eliminare l'inefficienza e lo spreco di tempo causati da una gestione statica e cieca della viabilità.</w:t>
            </w:r>
          </w:p>
        </w:tc>
      </w:tr>
    </w:tbl>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Obiettivo</w:t>
            </w:r>
          </w:p>
        </w:tc>
        <w:tc>
          <w:tcPr>
            <w:tcW w:type="dxa" w:w="43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Metrica Target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Riduzione tempi medi di attesa ai semafori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−20% nelle ore di punta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Riduzione emissioni PM10 nei canyon urbani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−30% durante episodi critici</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Recupero puntualità bus LAM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+25–40 secondi per corsa (−30% ritardo accumulato)</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Riduzione incidenti agli incroci critici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Azzeramento impatti laterali da Dilemma Zone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Risparmio energetico illuminazione pubblica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−40% consumo nei tratti con sensori PIR</w:t>
            </w:r>
          </w:p>
        </w:tc>
      </w:tr>
    </w:tbl>
    <w:p>
      <w:r>
        <w:br w:type="page"/>
      </w:r>
    </w:p>
    <w:p>
      <w:pPr>
        <w:pStyle w:val="Heading1"/>
        <w:spacing w:after="180" w:before="300"/>
      </w:pPr>
      <w:r>
        <w:rPr>
          <w:rFonts w:ascii="Arial" w:cs="Arial" w:eastAsia="Arial" w:hAnsi="Arial"/>
          <w:b/>
          <w:bCs/>
          <w:color w:val="1A237E"/>
          <w:sz w:val="32"/>
          <w:szCs w:val="32"/>
        </w:rPr>
        <w:t xml:space="preserve">2. Contesto e Obiettivi</w:t>
      </w:r>
    </w:p>
    <w:p>
      <w:pPr>
        <w:pStyle w:val="Heading2"/>
        <w:spacing w:after="120" w:before="240"/>
      </w:pPr>
      <w:r>
        <w:rPr>
          <w:rFonts w:ascii="Arial" w:cs="Arial" w:eastAsia="Arial" w:hAnsi="Arial"/>
          <w:b/>
          <w:bCs/>
          <w:color w:val="1565C0"/>
          <w:sz w:val="26"/>
          <w:szCs w:val="26"/>
        </w:rPr>
        <w:t xml:space="preserve">2.1 Situazione attuale</w:t>
      </w:r>
    </w:p>
    <w:p>
      <w:pPr>
        <w:spacing w:after="80" w:before="80" w:line="320"/>
      </w:pPr>
      <w:r>
        <w:rPr>
          <w:rFonts w:ascii="Arial" w:cs="Arial" w:eastAsia="Arial" w:hAnsi="Arial"/>
          <w:color w:val="212121"/>
          <w:sz w:val="22"/>
          <w:szCs w:val="22"/>
        </w:rPr>
        <w:t xml:space="preserve">La rete semaforica di Prato opera attualmente con piani a ciclo fisso: le durate delle fasi verdi sono preimpostate in base a rilievi di traffico storici, aggiornati raramente. Questo approccio presenta criticità strutturali: i semafori sono 'ciechi', ovvero non percepiscono la situazione reale in tempo reale. Il risultato è che un conducente può ritrovarsi fermo a un rosso per 45 secondi con l'incrocio completamente vuoto, oppure che un bus LAM in ritardo subisca gli stessi tempi di attesa di un'auto privata.</w:t>
      </w:r>
    </w:p>
    <w:p>
      <w:pPr>
        <w:spacing w:after="80" w:before="80" w:line="320"/>
      </w:pPr>
      <w:r>
        <w:rPr>
          <w:rFonts w:ascii="Arial" w:cs="Arial" w:eastAsia="Arial" w:hAnsi="Arial"/>
          <w:color w:val="212121"/>
          <w:sz w:val="22"/>
          <w:szCs w:val="22"/>
        </w:rPr>
        <w:t xml:space="preserve">Sul fronte ambientale, i dati ARPAT registrano regolarmente sforamenti delle soglie di PM10 e NO2 nelle vie a traffico intenso, in particolare nei 'canyon urbani' dove l'edificazione alta impedisce la dispersione degli inquinanti. La dinamica 'Stop &amp; Go' — frena e riparte — è la principale causa di picchi emissivi: un veicolo in accelerazione da fermo emette il triplo degli inquinanti rispetto a un veicolo in marcia costante.</w:t>
      </w:r>
    </w:p>
    <w:p>
      <w:pPr>
        <w:pStyle w:val="Heading2"/>
        <w:spacing w:after="120" w:before="240"/>
      </w:pPr>
      <w:r>
        <w:rPr>
          <w:rFonts w:ascii="Arial" w:cs="Arial" w:eastAsia="Arial" w:hAnsi="Arial"/>
          <w:b/>
          <w:bCs/>
          <w:color w:val="1565C0"/>
          <w:sz w:val="26"/>
          <w:szCs w:val="26"/>
        </w:rPr>
        <w:t xml:space="preserve">2.2 Visione del progetto</w:t>
      </w:r>
    </w:p>
    <w:p>
      <w:pPr>
        <w:pStyle w:val="ListParagraph"/>
        <w:numPr>
          <w:ilvl w:val="0"/>
          <w:numId w:val="2"/>
        </w:numPr>
        <w:spacing w:after="40" w:before="40"/>
      </w:pPr>
      <w:r>
        <w:rPr>
          <w:rFonts w:ascii="Arial" w:cs="Arial" w:eastAsia="Arial" w:hAnsi="Arial"/>
          <w:color w:val="212121"/>
          <w:sz w:val="22"/>
          <w:szCs w:val="22"/>
        </w:rPr>
        <w:t xml:space="preserve">Città Statica → Città Reattiva: passaggio da decisioni basate sul passato a decisioni basate sul tempo reale</w:t>
      </w:r>
    </w:p>
    <w:p>
      <w:pPr>
        <w:pStyle w:val="ListParagraph"/>
        <w:numPr>
          <w:ilvl w:val="0"/>
          <w:numId w:val="2"/>
        </w:numPr>
        <w:spacing w:after="40" w:before="40"/>
      </w:pPr>
      <w:r>
        <w:rPr>
          <w:rFonts w:ascii="Arial" w:cs="Arial" w:eastAsia="Arial" w:hAnsi="Arial"/>
          <w:color w:val="212121"/>
          <w:sz w:val="22"/>
          <w:szCs w:val="22"/>
        </w:rPr>
        <w:t xml:space="preserve">Sicurezza Attiva: la tecnologia corregge l'errore umano prima che diventi tragedia</w:t>
      </w:r>
    </w:p>
    <w:p>
      <w:pPr>
        <w:pStyle w:val="ListParagraph"/>
        <w:numPr>
          <w:ilvl w:val="0"/>
          <w:numId w:val="2"/>
        </w:numPr>
        <w:spacing w:after="40" w:before="40"/>
      </w:pPr>
      <w:r>
        <w:rPr>
          <w:rFonts w:ascii="Arial" w:cs="Arial" w:eastAsia="Arial" w:hAnsi="Arial"/>
          <w:color w:val="212121"/>
          <w:sz w:val="22"/>
          <w:szCs w:val="22"/>
        </w:rPr>
        <w:t xml:space="preserve">Sostenibilità Integrata: la qualità dell'aria diventa un parametro attivo nella gestione del traffico</w:t>
      </w:r>
    </w:p>
    <w:p>
      <w:pPr>
        <w:pStyle w:val="ListParagraph"/>
        <w:numPr>
          <w:ilvl w:val="0"/>
          <w:numId w:val="2"/>
        </w:numPr>
        <w:spacing w:after="40" w:before="40"/>
      </w:pPr>
      <w:r>
        <w:rPr>
          <w:rFonts w:ascii="Arial" w:cs="Arial" w:eastAsia="Arial" w:hAnsi="Arial"/>
          <w:color w:val="212121"/>
          <w:sz w:val="22"/>
          <w:szCs w:val="22"/>
        </w:rPr>
        <w:t xml:space="preserve">Priorità al Trasporto Pubblico: i bus della LAM guadagnano tempo reale sulle auto private</w:t>
      </w:r>
    </w:p>
    <w:p>
      <w:pPr>
        <w:pStyle w:val="ListParagraph"/>
        <w:numPr>
          <w:ilvl w:val="0"/>
          <w:numId w:val="2"/>
        </w:numPr>
        <w:spacing w:after="40" w:before="40"/>
      </w:pPr>
      <w:r>
        <w:rPr>
          <w:rFonts w:ascii="Arial" w:cs="Arial" w:eastAsia="Arial" w:hAnsi="Arial"/>
          <w:color w:val="212121"/>
          <w:sz w:val="22"/>
          <w:szCs w:val="22"/>
        </w:rPr>
        <w:t xml:space="preserve">Open Standard: nessun vendor lock-in, open data per sviluppatori e ricercatori locali</w:t>
      </w:r>
    </w:p>
    <w:p>
      <w:pPr>
        <w:pStyle w:val="Heading2"/>
        <w:spacing w:after="120" w:before="240"/>
      </w:pPr>
      <w:r>
        <w:rPr>
          <w:rFonts w:ascii="Arial" w:cs="Arial" w:eastAsia="Arial" w:hAnsi="Arial"/>
          <w:b/>
          <w:bCs/>
          <w:color w:val="1565C0"/>
          <w:sz w:val="26"/>
          <w:szCs w:val="26"/>
        </w:rPr>
        <w:t xml:space="preserve">2.3 Perimetro del progetto</w:t>
      </w:r>
    </w:p>
    <w:p>
      <w:pPr>
        <w:spacing w:after="80" w:before="80" w:line="320"/>
      </w:pPr>
      <w:r>
        <w:rPr>
          <w:rFonts w:ascii="Arial" w:cs="Arial" w:eastAsia="Arial" w:hAnsi="Arial"/>
          <w:color w:val="212121"/>
          <w:sz w:val="22"/>
          <w:szCs w:val="22"/>
        </w:rPr>
        <w:t xml:space="preserve">Il progetto copre l'intera rete semaforica della città di Prato, con un deployment progressivo pianificato in 3 fasi: (1) pilota su 5 incroci critici del centro, (2) estensione ai corridoi LAM principali, (3) copertura completa della rete. La presente specifica descrive l'architettura a regime completo.</w:t>
      </w:r>
    </w:p>
    <w:p>
      <w:r>
        <w:br w:type="page"/>
      </w:r>
    </w:p>
    <w:p>
      <w:pPr>
        <w:pStyle w:val="Heading1"/>
        <w:spacing w:after="180" w:before="300"/>
      </w:pPr>
      <w:r>
        <w:rPr>
          <w:rFonts w:ascii="Arial" w:cs="Arial" w:eastAsia="Arial" w:hAnsi="Arial"/>
          <w:b/>
          <w:bCs/>
          <w:color w:val="1A237E"/>
          <w:sz w:val="32"/>
          <w:szCs w:val="32"/>
        </w:rPr>
        <w:t xml:space="preserve">3. Architettura del Sistema</w:t>
      </w:r>
    </w:p>
    <w:p>
      <w:pPr>
        <w:pStyle w:val="Heading2"/>
        <w:spacing w:after="120" w:before="240"/>
      </w:pPr>
      <w:r>
        <w:rPr>
          <w:rFonts w:ascii="Arial" w:cs="Arial" w:eastAsia="Arial" w:hAnsi="Arial"/>
          <w:b/>
          <w:bCs/>
          <w:color w:val="1565C0"/>
          <w:sz w:val="26"/>
          <w:szCs w:val="26"/>
        </w:rPr>
        <w:t xml:space="preserve">3.1 Visione d'insieme</w:t>
      </w:r>
    </w:p>
    <w:p>
      <w:pPr>
        <w:spacing w:after="80" w:before="80" w:line="320"/>
      </w:pPr>
      <w:r>
        <w:rPr>
          <w:rFonts w:ascii="Arial" w:cs="Arial" w:eastAsia="Arial" w:hAnsi="Arial"/>
          <w:color w:val="212121"/>
          <w:sz w:val="22"/>
          <w:szCs w:val="22"/>
        </w:rPr>
        <w:t xml:space="preserve">Il sistema è organizzato in 6 layer funzionali, ciascuno con responsabilità ben definita e interfacce standardizzate verso i layer adiacenti. La separazione in layer garantisce sostituibilità dei componenti senza impatto sull'intero sistema.</w:t>
      </w:r>
    </w:p>
    <w:p>
      <w:pPr>
        <w:spacing w:after="60" w:before="120"/>
        <w:jc w:val="center"/>
      </w:pPr>
      <w:r>
        <w:drawing>
          <wp:inline distT="0" distB="0" distL="0" distR="0">
            <wp:extent cx="5905500" cy="3990975"/>
            <wp:effectExtent t="0" r="0" b="0" l="0"/>
            <wp:docPr id="1" name="Figura 1 — Architettura del sistema PratoMiMuovo (6 layer)" descr="Figura 1 — Architettura del sistema PratoMiMuovo (6 layer)" title="Figura 1 — Architettura del sistema PratoMiMuovo (6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90975"/>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Figura 1 — Architettura del sistema PratoMiMuovo (6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Layer</w:t>
            </w:r>
          </w:p>
        </w:tc>
        <w:tc>
          <w:tcPr>
            <w:tcW w:type="dxa" w:w="26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Nome</w:t>
            </w:r>
          </w:p>
        </w:tc>
        <w:tc>
          <w:tcPr>
            <w:tcW w:type="dxa" w:w="59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Responsabilità</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Sensing Layer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Raccolta dati dal campo: sensori di traffico, aria, posizione bus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Communication Layer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Trasporto dati: MQTT broker, LoRaWAN, backbone fibra/4G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Processing Layer (TMC)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Elaborazione, AI, moduli funzionali, storage time-series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Actuator Layer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Esecuzione comandi: semafori, PMV, illuminazione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Integration Layer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Interfacce esterne: ARPAT, DATEX II, GTFS-RT, Open Data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12121"/>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External Systems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Sistemi terzi: Google Maps, Sistemi Regionali, operatori</w:t>
            </w:r>
          </w:p>
        </w:tc>
      </w:tr>
    </w:tbl>
    <w:p>
      <w:pPr>
        <w:pStyle w:val="Heading2"/>
        <w:spacing w:after="120" w:before="240"/>
      </w:pPr>
      <w:r>
        <w:rPr>
          <w:rFonts w:ascii="Arial" w:cs="Arial" w:eastAsia="Arial" w:hAnsi="Arial"/>
          <w:b/>
          <w:bCs/>
          <w:color w:val="1565C0"/>
          <w:sz w:val="26"/>
          <w:szCs w:val="26"/>
        </w:rPr>
        <w:t xml:space="preserve">3.2 Strato Sensing — Gli Occhi</w:t>
      </w:r>
    </w:p>
    <w:p>
      <w:pPr>
        <w:spacing w:after="80" w:before="80" w:line="320"/>
      </w:pPr>
      <w:r>
        <w:rPr>
          <w:rFonts w:ascii="Arial" w:cs="Arial" w:eastAsia="Arial" w:hAnsi="Arial"/>
          <w:color w:val="212121"/>
          <w:sz w:val="22"/>
          <w:szCs w:val="22"/>
        </w:rPr>
        <w:t xml:space="preserve">Il layer sensing comprende tutti i dispositivi fisici che raccolgono informazioni dalla rete stradale. I sensori sono progettati per la raccolta di dati aggregati e anonimizzati: nessun dispositivo legge targhe o identifica persone.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rPr>
          <w:tblHeader/>
        </w:trPr>
        <w:tc>
          <w:tcPr>
            <w:tcW w:type="dxa" w:w="2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Dispositivo</w:t>
            </w:r>
          </w:p>
        </w:tc>
        <w:tc>
          <w:tcPr>
            <w:tcW w:type="dxa" w:w="2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Tecnologia</w:t>
            </w:r>
          </w:p>
        </w:tc>
        <w:tc>
          <w:tcPr>
            <w:tcW w:type="dxa" w:w="3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Output</w:t>
            </w:r>
          </w:p>
        </w:tc>
        <w:tc>
          <w:tcPr>
            <w:tcW w:type="dxa" w:w="23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Protocollo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Telecamere IP + CV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YOLOv8 on edge device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Conteggio e classificazione veicoli (auto/bus/bici/pedoni)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RTSP → MQTT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Spire Induttive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Loop elettromagnetico sotto asfalto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Conteggio passaggi, occupancy lane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RS-485 → MQTT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Radar Doppler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Radar a microonde 24 GHz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Velocità veicoli in arrivo, 0–150 km/h ±1 km/h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MQTT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Sensori IR Termici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PIR + termocamera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Presenza pedoni su strisce, posizione e stima velocità</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LoRaWAN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GPS Bus (GTFS-RT)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GPS on-board + AVM (CAP)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Posizione in tempo reale LAM, trip_id, delay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Protobuf GTFS-RT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Sensori Aria IoT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Elettrochimici + ottici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PM10, PM2.5, NO2, CO, temperatura, umidità</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LoRaWAN Class A</w:t>
            </w:r>
          </w:p>
        </w:tc>
      </w:tr>
    </w:tbl>
    <w:p>
      <w:pPr>
        <w:pStyle w:val="Heading2"/>
        <w:spacing w:after="120" w:before="240"/>
      </w:pPr>
      <w:r>
        <w:rPr>
          <w:rFonts w:ascii="Arial" w:cs="Arial" w:eastAsia="Arial" w:hAnsi="Arial"/>
          <w:b/>
          <w:bCs/>
          <w:color w:val="1565C0"/>
          <w:sz w:val="26"/>
          <w:szCs w:val="26"/>
        </w:rPr>
        <w:t xml:space="preserve">3.3 Strato Communication</w:t>
      </w:r>
    </w:p>
    <w:p>
      <w:pPr>
        <w:pStyle w:val="Heading3"/>
        <w:spacing w:after="80" w:before="180"/>
      </w:pPr>
      <w:r>
        <w:rPr>
          <w:rFonts w:ascii="Arial" w:cs="Arial" w:eastAsia="Arial" w:hAnsi="Arial"/>
          <w:b/>
          <w:bCs/>
          <w:color w:val="2E7D32"/>
          <w:sz w:val="22"/>
          <w:szCs w:val="22"/>
        </w:rPr>
        <w:t xml:space="preserve">LoRaWAN Network Server</w:t>
      </w:r>
    </w:p>
    <w:p>
      <w:pPr>
        <w:spacing w:after="80" w:before="80" w:line="320"/>
      </w:pPr>
      <w:r>
        <w:rPr>
          <w:rFonts w:ascii="Arial" w:cs="Arial" w:eastAsia="Arial" w:hAnsi="Arial"/>
          <w:color w:val="212121"/>
          <w:sz w:val="22"/>
          <w:szCs w:val="22"/>
        </w:rPr>
        <w:t xml:space="preserve">I sensori a basso consumo (PIR, qualità aria) utilizzano LoRaWAN su banda EU868 con spreading factor SF7–SF12. Il Network Server è ChirpStack (open source), deployato su infrastruttura di proprietà comunale. I gateway LoRaWAN sono posizionati sui pali della pubblica illuminazione. Il duty cycle massimo per ogni sensore è dell'1%, sufficiente per polling ogni 10 minuti.</w:t>
      </w:r>
    </w:p>
    <w:p>
      <w:pPr>
        <w:pStyle w:val="Heading3"/>
        <w:spacing w:after="80" w:before="180"/>
      </w:pPr>
      <w:r>
        <w:rPr>
          <w:rFonts w:ascii="Arial" w:cs="Arial" w:eastAsia="Arial" w:hAnsi="Arial"/>
          <w:b/>
          <w:bCs/>
          <w:color w:val="2E7D32"/>
          <w:sz w:val="22"/>
          <w:szCs w:val="22"/>
        </w:rPr>
        <w:t xml:space="preserve">MQTT Broker</w:t>
      </w:r>
    </w:p>
    <w:p>
      <w:pPr>
        <w:spacing w:after="80" w:before="80" w:line="320"/>
      </w:pPr>
      <w:r>
        <w:rPr>
          <w:rFonts w:ascii="Arial" w:cs="Arial" w:eastAsia="Arial" w:hAnsi="Arial"/>
          <w:color w:val="212121"/>
          <w:sz w:val="22"/>
          <w:szCs w:val="22"/>
        </w:rPr>
        <w:t xml:space="preserve">Tutti i flussi dati confluiscono su un MQTT Broker centralizzato (EMQX Enterprise). Le connessioni sono protette da TLS 1.3 con autenticazione mTLS per ogni dispositivo. Il Quality of Service è QoS 1 per dati non critici e QoS 2 per comandi agli attuatori. La gerarchia dei topic segue lo schema: /prato/{zona}/{incrocio}/{device_type}/{metric}.</w:t>
      </w:r>
    </w:p>
    <w:p>
      <w:pPr>
        <w:pStyle w:val="Heading3"/>
        <w:spacing w:after="80" w:before="180"/>
      </w:pPr>
      <w:r>
        <w:rPr>
          <w:rFonts w:ascii="Arial" w:cs="Arial" w:eastAsia="Arial" w:hAnsi="Arial"/>
          <w:b/>
          <w:bCs/>
          <w:color w:val="2E7D32"/>
          <w:sz w:val="22"/>
          <w:szCs w:val="22"/>
        </w:rPr>
        <w:t xml:space="preserve">Backbone Fibra + 4G/5G</w:t>
      </w:r>
    </w:p>
    <w:p>
      <w:pPr>
        <w:spacing w:after="80" w:before="80" w:line="320"/>
      </w:pPr>
      <w:r>
        <w:rPr>
          <w:rFonts w:ascii="Arial" w:cs="Arial" w:eastAsia="Arial" w:hAnsi="Arial"/>
          <w:color w:val="212121"/>
          <w:sz w:val="22"/>
          <w:szCs w:val="22"/>
        </w:rPr>
        <w:t xml:space="preserve">I controller semaforici (ATC) comunicano con il TMC tramite backbone in fibra ottica con failover automatico su 4G LTE. La latenza target per i comandi agli ATC è inferiore a 50ms end-to-end. In caso di perdita del link, ogni ATC esegue autonomamente il piano fisso di backup preimpostato.</w:t>
      </w:r>
    </w:p>
    <w:p>
      <w:pPr>
        <w:pStyle w:val="Heading2"/>
        <w:spacing w:after="120" w:before="240"/>
      </w:pPr>
      <w:r>
        <w:rPr>
          <w:rFonts w:ascii="Arial" w:cs="Arial" w:eastAsia="Arial" w:hAnsi="Arial"/>
          <w:b/>
          <w:bCs/>
          <w:color w:val="1565C0"/>
          <w:sz w:val="26"/>
          <w:szCs w:val="26"/>
        </w:rPr>
        <w:t xml:space="preserve">3.4 Strato Processing — Il Cervello (TMC)</w:t>
      </w:r>
    </w:p>
    <w:p>
      <w:pPr>
        <w:pStyle w:val="Heading3"/>
        <w:spacing w:after="80" w:before="180"/>
      </w:pPr>
      <w:r>
        <w:rPr>
          <w:rFonts w:ascii="Arial" w:cs="Arial" w:eastAsia="Arial" w:hAnsi="Arial"/>
          <w:b/>
          <w:bCs/>
          <w:color w:val="2E7D32"/>
          <w:sz w:val="22"/>
          <w:szCs w:val="22"/>
        </w:rPr>
        <w:t xml:space="preserve">Ingestion &amp; Streaming</w:t>
      </w:r>
    </w:p>
    <w:p>
      <w:pPr>
        <w:spacing w:after="80" w:before="80" w:line="320"/>
      </w:pPr>
      <w:r>
        <w:rPr>
          <w:rFonts w:ascii="Arial" w:cs="Arial" w:eastAsia="Arial" w:hAnsi="Arial"/>
          <w:color w:val="212121"/>
          <w:sz w:val="22"/>
          <w:szCs w:val="22"/>
        </w:rPr>
        <w:t xml:space="preserve">Il dato grezzo dei sensori viene ingerito tramite Apache Kafka, con partitioning per zona geografica per garantire locality e bassa latenza di processing. Lo Schema Registry Avro garantisce la compatibilità dei formati nel tempo. La retention è di 7 giorni per i dati raw, utile per debugging e replay in caso di malfunzionamenti.</w:t>
      </w:r>
    </w:p>
    <w:p>
      <w:pPr>
        <w:spacing w:after="80" w:before="80" w:line="320"/>
      </w:pPr>
      <w:r>
        <w:rPr>
          <w:rFonts w:ascii="Arial" w:cs="Arial" w:eastAsia="Arial" w:hAnsi="Arial"/>
          <w:color w:val="212121"/>
          <w:sz w:val="22"/>
          <w:szCs w:val="22"/>
        </w:rPr>
        <w:t xml:space="preserve">Apache Flink gestisce lo stream processing in tempo reale con Complex Event Processing (CEP): rileva pattern complessi su sequenze di eventi (es. 'pedone lento + verde in scadenza') in finestre temporali sliding di 30 secondi, 5 minuti e 1 ora.</w:t>
      </w:r>
    </w:p>
    <w:p>
      <w:pPr>
        <w:pStyle w:val="Heading3"/>
        <w:spacing w:after="80" w:before="180"/>
      </w:pPr>
      <w:r>
        <w:rPr>
          <w:rFonts w:ascii="Arial" w:cs="Arial" w:eastAsia="Arial" w:hAnsi="Arial"/>
          <w:b/>
          <w:bCs/>
          <w:color w:val="2E7D32"/>
          <w:sz w:val="22"/>
          <w:szCs w:val="22"/>
        </w:rPr>
        <w:t xml:space="preserve">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1960"/>
      </w:tblGrid>
      <w:tr>
        <w:trPr>
          <w:tblHeader/>
        </w:trPr>
        <w:tc>
          <w:tcPr>
            <w:tcW w:type="dxa" w:w="1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Database</w:t>
            </w:r>
          </w:p>
        </w:tc>
        <w:tc>
          <w:tcPr>
            <w:tcW w:type="dxa" w:w="24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Tecnologia</w:t>
            </w:r>
          </w:p>
        </w:tc>
        <w:tc>
          <w:tcPr>
            <w:tcW w:type="dxa" w:w="31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Contenuto</w:t>
            </w:r>
          </w:p>
        </w:tc>
        <w:tc>
          <w:tcPr>
            <w:tcW w:type="dxa" w:w="19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Retention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Time-Series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InfluxDB / TimescaleDB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Dati sensori, metriche traffico, qualità aria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90 giorni raw, 2 anni aggregati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Spatial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PostgreSQL + PostGIS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Topologia stradale, conf. incroci, audit log comandi ATC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Permanente</w:t>
            </w:r>
          </w:p>
        </w:tc>
      </w:tr>
    </w:tbl>
    <w:p>
      <w:pPr>
        <w:pStyle w:val="Heading2"/>
        <w:spacing w:after="120" w:before="240"/>
      </w:pPr>
      <w:r>
        <w:rPr>
          <w:rFonts w:ascii="Arial" w:cs="Arial" w:eastAsia="Arial" w:hAnsi="Arial"/>
          <w:b/>
          <w:bCs/>
          <w:color w:val="1565C0"/>
          <w:sz w:val="26"/>
          <w:szCs w:val="26"/>
        </w:rPr>
        <w:t xml:space="preserve">3.5 Strato Actuator — I Muscoli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Attuatore</w:t>
            </w:r>
          </w:p>
        </w:tc>
        <w:tc>
          <w:tcPr>
            <w:tcW w:type="dxa" w:w="1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Standard</w:t>
            </w:r>
          </w:p>
        </w:tc>
        <w:tc>
          <w:tcPr>
            <w:tcW w:type="dxa" w:w="2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Interfaccia</w:t>
            </w:r>
          </w:p>
        </w:tc>
        <w:tc>
          <w:tcPr>
            <w:tcW w:type="dxa" w:w="27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Failsafe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Adaptive Traffic Controllers (ATC)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NTCIP 1202 / UTMC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REST API + SNMP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Piano fisso locale autonomo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Pannelli a Messaggio Variabile (PMV)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DATEX II location ref.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REST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Messaggio statico di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Illuminazione Adattiva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DALI-2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Gateway DALI-2 → MQTT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Luminosità massima in failsafe</w:t>
            </w:r>
          </w:p>
        </w:tc>
      </w:tr>
    </w:tbl>
    <w:p>
      <w:r>
        <w:br w:type="page"/>
      </w:r>
    </w:p>
    <w:p>
      <w:pPr>
        <w:pStyle w:val="Heading1"/>
        <w:spacing w:after="180" w:before="300"/>
      </w:pPr>
      <w:r>
        <w:rPr>
          <w:rFonts w:ascii="Arial" w:cs="Arial" w:eastAsia="Arial" w:hAnsi="Arial"/>
          <w:b/>
          <w:bCs/>
          <w:color w:val="1A237E"/>
          <w:sz w:val="32"/>
          <w:szCs w:val="32"/>
        </w:rPr>
        <w:t xml:space="preserve">4. Specifiche Funzionali</w:t>
      </w:r>
    </w:p>
    <w:p>
      <w:pPr>
        <w:pStyle w:val="Heading2"/>
        <w:spacing w:after="120" w:before="240"/>
      </w:pPr>
      <w:r>
        <w:rPr>
          <w:rFonts w:ascii="Arial" w:cs="Arial" w:eastAsia="Arial" w:hAnsi="Arial"/>
          <w:b/>
          <w:bCs/>
          <w:color w:val="1565C0"/>
          <w:sz w:val="26"/>
          <w:szCs w:val="26"/>
        </w:rPr>
        <w:t xml:space="preserve">4.1 AI Traffic Optimization Engine</w:t>
      </w:r>
    </w:p>
    <w:p>
      <w:pPr>
        <w:spacing w:after="80" w:before="80" w:line="320"/>
      </w:pPr>
      <w:r>
        <w:rPr>
          <w:rFonts w:ascii="Arial" w:cs="Arial" w:eastAsia="Arial" w:hAnsi="Arial"/>
          <w:color w:val="212121"/>
          <w:sz w:val="22"/>
          <w:szCs w:val="22"/>
        </w:rPr>
        <w:t xml:space="preserve">Il motore centrale di ottimizzazione del traffico usa Reinforcement Learning con algoritmo PPO (Proximal Policy Optimization). Il reward è una funzione multi-obiettivo che minimizza contemporaneamente: ritardo cumulativo dei veicoli, numero di ripartenze da fermo (proxy per emissioni), e code nelle rotonde.</w:t>
      </w:r>
    </w:p>
    <w:p>
      <w:pPr>
        <w:spacing w:after="80" w:before="80" w:line="320"/>
      </w:pPr>
      <w:r>
        <w:rPr>
          <w:rFonts w:ascii="Arial" w:cs="Arial" w:eastAsia="Arial" w:hAnsi="Arial"/>
          <w:color w:val="212121"/>
          <w:sz w:val="22"/>
          <w:szCs w:val="22"/>
        </w:rPr>
        <w:t xml:space="preserve">L'ottimizzazione è multi-incrocio: il sistema considera la rete come un grafo e ottimizza il flusso globale, non incrocio per incrocio. I moduli specializzati (Sicurezza, Environmental, Bus Priority, Gating) possono sovrascrivere le decisioni dell'AI Engine con priorità ben definite, descritte nella sezione 4.2.</w:t>
      </w:r>
    </w:p>
    <w:p>
      <w:pPr>
        <w:pStyle w:val="Heading2"/>
        <w:spacing w:after="120" w:before="240"/>
      </w:pPr>
      <w:r>
        <w:rPr>
          <w:rFonts w:ascii="Arial" w:cs="Arial" w:eastAsia="Arial" w:hAnsi="Arial"/>
          <w:b/>
          <w:bCs/>
          <w:color w:val="1565C0"/>
          <w:sz w:val="26"/>
          <w:szCs w:val="26"/>
        </w:rPr>
        <w:t xml:space="preserve">4.2 Modulo Sicurezza Attiva</w:t>
      </w:r>
    </w:p>
    <w:p>
      <w:pPr>
        <w:spacing w:after="80" w:before="80" w:line="320"/>
      </w:pPr>
      <w:r>
        <w:rPr>
          <w:rFonts w:ascii="Arial" w:cs="Arial" w:eastAsia="Arial" w:hAnsi="Arial"/>
          <w:color w:val="212121"/>
          <w:sz w:val="22"/>
          <w:szCs w:val="22"/>
        </w:rPr>
        <w:t xml:space="preserve">Il Modulo Sicurezza Attiva ha priorità assoluta su tutti gli altri moduli. Le sue decisioni non possono essere sovrascritte dall'AI Engine o dal Modulo Bus Priority. L'unico override consentito è quello manuale da Dashboard Operatori H24.</w:t>
      </w:r>
    </w:p>
    <w:p>
      <w:pPr>
        <w:pStyle w:val="Heading3"/>
        <w:spacing w:after="80" w:before="180"/>
      </w:pPr>
      <w:r>
        <w:rPr>
          <w:rFonts w:ascii="Arial" w:cs="Arial" w:eastAsia="Arial" w:hAnsi="Arial"/>
          <w:b/>
          <w:bCs/>
          <w:color w:val="2E7D32"/>
          <w:sz w:val="22"/>
          <w:szCs w:val="22"/>
        </w:rPr>
        <w:t xml:space="preserve">4.2.1 Pedestrian Extension (Scudo Pedoni)</w:t>
      </w:r>
    </w:p>
    <w:p>
      <w:pPr>
        <w:spacing w:after="80" w:before="80" w:line="320"/>
      </w:pPr>
      <w:r>
        <w:rPr>
          <w:rFonts w:ascii="Arial" w:cs="Arial" w:eastAsia="Arial" w:hAnsi="Arial"/>
          <w:color w:val="212121"/>
          <w:sz w:val="22"/>
          <w:szCs w:val="22"/>
        </w:rPr>
        <w:t xml:space="preserve">Quando un sensore IR termico rileva presenza sulle strisce pedonali e il modello di velocità stima che il pedone non terminerà l'attraversamento entro il verde pedonale residuo, il sistema estende automaticamente la fase verde pedonale (e mantiene il rosso per i veicoli) fino a liberazione dell'incrocio confermata da sensore.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Parametro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Valore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Velocità pedone 'lento'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0.8 m/s (anziani, bambini, persone con disabilità)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Estensione massima concessa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+15 secondi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Early release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Sì — il verde auto parte non appena l'incrocio è libero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Dual sensor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PIR + telecamera (doppia conferma per ridurre falsi positivi)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Priorità</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MASSIMA — non bypassabile da altri moduli</w:t>
            </w:r>
          </w:p>
        </w:tc>
      </w:tr>
    </w:tbl>
    <w:p>
      <w:pPr>
        <w:spacing w:after="60" w:before="120"/>
        <w:jc w:val="center"/>
      </w:pPr>
      <w:r>
        <w:drawing>
          <wp:inline distT="0" distB="0" distL="0" distR="0">
            <wp:extent cx="5905500" cy="10753725"/>
            <wp:effectExtent t="0" r="0" b="0" l="0"/>
            <wp:docPr id="1" name="Figura 2 — Sequence diagram: Pedestrian Extension" descr="Figura 2 — Sequence diagram: Pedestrian Extension" title="Figura 2 — Sequence diagram: Pedestrian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0753725"/>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Figura 2 — Sequence diagram: Pedestrian Extension</w:t>
      </w:r>
    </w:p>
    <w:p>
      <w:pPr>
        <w:pStyle w:val="Heading3"/>
        <w:spacing w:after="80" w:before="180"/>
      </w:pPr>
      <w:r>
        <w:rPr>
          <w:rFonts w:ascii="Arial" w:cs="Arial" w:eastAsia="Arial" w:hAnsi="Arial"/>
          <w:b/>
          <w:bCs/>
          <w:color w:val="2E7D32"/>
          <w:sz w:val="22"/>
          <w:szCs w:val="22"/>
        </w:rPr>
        <w:t xml:space="preserve">4.2.2 Dilemma Zone Protection (Anti-Furbetti del Giallo)</w:t>
      </w:r>
    </w:p>
    <w:p>
      <w:pPr>
        <w:spacing w:after="80" w:before="80" w:line="320"/>
      </w:pPr>
      <w:r>
        <w:rPr>
          <w:rFonts w:ascii="Arial" w:cs="Arial" w:eastAsia="Arial" w:hAnsi="Arial"/>
          <w:color w:val="212121"/>
          <w:sz w:val="22"/>
          <w:szCs w:val="22"/>
        </w:rPr>
        <w:t xml:space="preserve">I sensori radar misurano la velocità di ogni veicolo che si avvicina a un incrocio. Se il sistema calcola che un veicolo, con la velocità rilevata, non riuscirà a fermarsi prima della linea di stop prima del rosso, attiva una fase All-Red: tutti i semafori dell'incrocio restano rossi per 2–4 secondi, congelando l'incrocio fino a che il veicolo transitante non lo ha liberato.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Parametro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Valore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Distanza di rilevamento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60–100 metri prima della linea di stop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Algoritmo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Kinematic model: d_stop = v² / (2·a), a = 3.5 m/s² (decel. media)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Durata fase All-Red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2–4 secondi (calibrabile per incrocio)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Falso positivo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Il sistema non interviene se il veicolo può fermarsi normalmente</w:t>
            </w:r>
          </w:p>
        </w:tc>
      </w:tr>
    </w:tbl>
    <w:p>
      <w:pPr>
        <w:pStyle w:val="Heading3"/>
        <w:spacing w:after="80" w:before="180"/>
      </w:pPr>
      <w:r>
        <w:rPr>
          <w:rFonts w:ascii="Arial" w:cs="Arial" w:eastAsia="Arial" w:hAnsi="Arial"/>
          <w:b/>
          <w:bCs/>
          <w:color w:val="2E7D32"/>
          <w:sz w:val="22"/>
          <w:szCs w:val="22"/>
        </w:rPr>
        <w:t xml:space="preserve">4.2.3 Bike LPI Head Start</w:t>
      </w:r>
    </w:p>
    <w:p>
      <w:pPr>
        <w:spacing w:after="80" w:before="80" w:line="320"/>
      </w:pPr>
      <w:r>
        <w:rPr>
          <w:rFonts w:ascii="Arial" w:cs="Arial" w:eastAsia="Arial" w:hAnsi="Arial"/>
          <w:color w:val="212121"/>
          <w:sz w:val="22"/>
          <w:szCs w:val="22"/>
        </w:rPr>
        <w:t xml:space="preserve">Gli incroci con alta frequenza ciclistica (rilevata da telecamere CV) ricevono una fase LPI (Leading Pedestrian Interval) per biciclette: il verde scatta 4–5 secondi prima per i ciclisti rispetto ai veicoli motorizzati. Questo consente alla bici di portarsi al centro dell'incrocio ed essere ben visibile prima che le auto in svolta si muovano.</w:t>
      </w:r>
    </w:p>
    <w:p>
      <w:pPr>
        <w:pStyle w:val="Heading2"/>
        <w:spacing w:after="120" w:before="240"/>
      </w:pPr>
      <w:r>
        <w:rPr>
          <w:rFonts w:ascii="Arial" w:cs="Arial" w:eastAsia="Arial" w:hAnsi="Arial"/>
          <w:b/>
          <w:bCs/>
          <w:color w:val="1565C0"/>
          <w:sz w:val="26"/>
          <w:szCs w:val="26"/>
        </w:rPr>
        <w:t xml:space="preserve">4.3 Modulo Environmental Traffic Management</w:t>
      </w:r>
    </w:p>
    <w:p>
      <w:pPr>
        <w:spacing w:after="80" w:before="80" w:line="320"/>
      </w:pPr>
      <w:r>
        <w:rPr>
          <w:rFonts w:ascii="Arial" w:cs="Arial" w:eastAsia="Arial" w:hAnsi="Arial"/>
          <w:color w:val="212121"/>
          <w:sz w:val="22"/>
          <w:szCs w:val="22"/>
        </w:rPr>
        <w:t xml:space="preserve">Il Modulo Environmental TM integra i dati di qualità dell'aria — provenienti dalle centraline ARPAT e dai sensori IoT locali — nella logica di controllo semaforica. Quando i valori di PM10 o NO2 superano le soglie definite in una zona, il sistema attiva automaticamente un piano di gating che riduce l'afflusso di veicoli verso quell'area.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Parametro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Valore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Soglia PM10 allerta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50 µg/m³ (valore limite giornaliero 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Soglia NO2 allerta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100 µg/m³ (valore limite orario WHO)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Fonte dati primaria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ARPAT REST API (polling ogni 10 minuti)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Fonte dati secondaria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Sensori IoT LoRaWAN in loco (ogni 10 minuti)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Isteresi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 letture consecutive sotto soglia per rientro allerta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Azione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Riduzione verde verso zona critica: −40% flusso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Comunicazione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PMV + DATEX II → Google Maps / Waze con percorso alternativo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Integrazione con Stop &amp; 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Onda verde attivata per ridurre ripartenze da fermo</w:t>
            </w:r>
          </w:p>
        </w:tc>
      </w:tr>
    </w:tbl>
    <w:p>
      <w:pPr>
        <w:spacing w:after="60" w:before="120"/>
        <w:jc w:val="center"/>
      </w:pPr>
      <w:r>
        <w:drawing>
          <wp:inline distT="0" distB="0" distL="0" distR="0">
            <wp:extent cx="5905500" cy="12744450"/>
            <wp:effectExtent t="0" r="0" b="0" l="0"/>
            <wp:docPr id="1" name="Figura 3 — Sequence diagram: Environmental Traffic Management" descr="Figura 3 — Sequence diagram: Environmental Traffic Management" title="Figura 3 — Sequence diagram: Environmental Traffic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2744450"/>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Figura 3 — Sequence diagram: Environmental Traffic Management</w:t>
      </w:r>
    </w:p>
    <w:p>
      <w:pPr>
        <w:pStyle w:val="Heading2"/>
        <w:spacing w:after="120" w:before="240"/>
      </w:pPr>
      <w:r>
        <w:rPr>
          <w:rFonts w:ascii="Arial" w:cs="Arial" w:eastAsia="Arial" w:hAnsi="Arial"/>
          <w:b/>
          <w:bCs/>
          <w:color w:val="1565C0"/>
          <w:sz w:val="26"/>
          <w:szCs w:val="26"/>
        </w:rPr>
        <w:t xml:space="preserve">4.4 Modulo Priorità TPL — Bus Priority</w:t>
      </w:r>
    </w:p>
    <w:p>
      <w:pPr>
        <w:spacing w:after="80" w:before="80" w:line="320"/>
      </w:pPr>
      <w:r>
        <w:rPr>
          <w:rFonts w:ascii="Arial" w:cs="Arial" w:eastAsia="Arial" w:hAnsi="Arial"/>
          <w:color w:val="212121"/>
          <w:sz w:val="22"/>
          <w:szCs w:val="22"/>
        </w:rPr>
        <w:t xml:space="preserve">Il Modulo Priorità TPL riceve i feed GTFS-RT dal CAP (azienda trasporti di Prato) e calcola in tempo reale la posizione e il ritardo di ogni bus LAM. Quando un bus supera la soglia di ritardo e si trova entro la finestra di preemption, il sistema richiede al Modulo Sicurezza Attiva il permesso di attivare la preemption semaforica.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Parametro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Valore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Soglia ritardo per preemption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&gt; 120 secondi (2 minuti)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Finestra di attivazione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200 metri prima dell'incrocio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Verde esteso massimo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45 secondi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Look-ahead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 incroci (coordinamento corridoio verde)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Arbiter sicurezza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Il Modulo Sicurezza Attiva ha veto assoluto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Preemption condizionata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 pedoni attivi → attende clearance strisce pedonali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Max preemption per incrocio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 bus simultaneamente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Update GTFS-RT dopo preemption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Aggiornamento delay stimato inviato al backend CAP</w:t>
            </w:r>
          </w:p>
        </w:tc>
      </w:tr>
    </w:tbl>
    <w:p>
      <w:pPr>
        <w:spacing w:after="60" w:before="120"/>
        <w:jc w:val="center"/>
      </w:pPr>
      <w:r>
        <w:drawing>
          <wp:inline distT="0" distB="0" distL="0" distR="0">
            <wp:extent cx="5905500" cy="12801600"/>
            <wp:effectExtent t="0" r="0" b="0" l="0"/>
            <wp:docPr id="1" name="Figura 4 — Sequence diagram: Bus Priority / Signal Preemption" descr="Figura 4 — Sequence diagram: Bus Priority / Signal Preemption" title="Figura 4 — Sequence diagram: Bus Priority / Signal Pree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801600"/>
                    </a:xfrm>
                    <a:prstGeom prst="rect">
                      <a:avLst/>
                    </a:prstGeom>
                  </pic:spPr>
                </pic:pic>
              </a:graphicData>
            </a:graphic>
          </wp:inline>
        </w:drawing>
      </w:r>
    </w:p>
    <w:p>
      <w:pPr>
        <w:spacing w:after="180" w:before="0"/>
        <w:jc w:val="center"/>
      </w:pPr>
      <w:r>
        <w:rPr>
          <w:rFonts w:ascii="Arial" w:cs="Arial" w:eastAsia="Arial" w:hAnsi="Arial"/>
          <w:i/>
          <w:iCs/>
          <w:color w:val="888888"/>
          <w:sz w:val="18"/>
          <w:szCs w:val="18"/>
        </w:rPr>
        <w:t xml:space="preserve">Figura 4 — Sequence diagram: Bus Priority / Signal Preemption</w:t>
      </w:r>
    </w:p>
    <w:p>
      <w:pPr>
        <w:pStyle w:val="Heading2"/>
        <w:spacing w:after="120" w:before="240"/>
      </w:pPr>
      <w:r>
        <w:rPr>
          <w:rFonts w:ascii="Arial" w:cs="Arial" w:eastAsia="Arial" w:hAnsi="Arial"/>
          <w:b/>
          <w:bCs/>
          <w:color w:val="1565C0"/>
          <w:sz w:val="26"/>
          <w:szCs w:val="26"/>
        </w:rPr>
        <w:t xml:space="preserve">4.5 Modulo Gating Rotonde</w:t>
      </w:r>
    </w:p>
    <w:p>
      <w:pPr>
        <w:spacing w:after="80" w:before="80" w:line="320"/>
      </w:pPr>
      <w:r>
        <w:rPr>
          <w:rFonts w:ascii="Arial" w:cs="Arial" w:eastAsia="Arial" w:hAnsi="Arial"/>
          <w:color w:val="212121"/>
          <w:sz w:val="22"/>
          <w:szCs w:val="22"/>
        </w:rPr>
        <w:t xml:space="preserve">Le principali rotonde di Prato (es. Piazza San Marco, Piazza Mercato Nuovo) tendono a saturarsi nei periodi di punta, creando situazioni di gridlock che si propagano a ritroso sulle strade afferenti. Il Modulo Gating Rotonde previene questo scenario intercettando il traffico a monte, prima che le auto entrino nella rotonda satura.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Parametro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Valore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Sensore di occupancy rotonda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Spire induttive + telecamere CV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Soglia di attivazione gating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Occupancy &gt; 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Meccanismo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Riduzione verde semafori upstream verso la rotonda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Vantaggio per il conducente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30s di attesa al semaforo vs. 10+ minuti fermi in rotonda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Comunicazione PMV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'Rotonda satura — Usare percorso alternativo [nome]'</w:t>
            </w:r>
          </w:p>
        </w:tc>
      </w:tr>
    </w:tbl>
    <w:p>
      <w:r>
        <w:br w:type="page"/>
      </w:r>
    </w:p>
    <w:p>
      <w:pPr>
        <w:pStyle w:val="Heading1"/>
        <w:spacing w:after="180" w:before="300"/>
      </w:pPr>
      <w:r>
        <w:rPr>
          <w:rFonts w:ascii="Arial" w:cs="Arial" w:eastAsia="Arial" w:hAnsi="Arial"/>
          <w:b/>
          <w:bCs/>
          <w:color w:val="1A237E"/>
          <w:sz w:val="32"/>
          <w:szCs w:val="32"/>
        </w:rPr>
        <w:t xml:space="preserve">5. Specifiche Non Funzionali</w:t>
      </w:r>
    </w:p>
    <w:p>
      <w:pPr>
        <w:pStyle w:val="Heading2"/>
        <w:spacing w:after="120" w:before="240"/>
      </w:pPr>
      <w:r>
        <w:rPr>
          <w:rFonts w:ascii="Arial" w:cs="Arial" w:eastAsia="Arial" w:hAnsi="Arial"/>
          <w:b/>
          <w:bCs/>
          <w:color w:val="1565C0"/>
          <w:sz w:val="26"/>
          <w:szCs w:val="26"/>
        </w:rPr>
        <w:t xml:space="preserve">5.1 Latenza e Tempo di Risposta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Scenario</w:t>
            </w:r>
          </w:p>
        </w:tc>
        <w:tc>
          <w:tcPr>
            <w:tcW w:type="dxa" w:w="25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Latenza Target</w:t>
            </w:r>
          </w:p>
        </w:tc>
        <w:tc>
          <w:tcPr>
            <w:tcW w:type="dxa" w:w="33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Latenza Max Accettabile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Pedestrian Extension (comando ATC)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200ms end-to-end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500ms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Dilemma Zone Protection (All-Red)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100ms da rilevamento radar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200ms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Bus Preemption (comando ATC)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500ms da trigger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 secondo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Environmental gating (riduzione verde)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60 secondi da superamento soglia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3 minuti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Aggiornamento dashboard operatori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5 secondi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30 secondi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Feed DATEX II verso navigatori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2 minuti da cambio situazione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5 minuti</w:t>
            </w:r>
          </w:p>
        </w:tc>
      </w:tr>
    </w:tbl>
    <w:p>
      <w:pPr>
        <w:pStyle w:val="Heading2"/>
        <w:spacing w:after="120" w:before="240"/>
      </w:pPr>
      <w:r>
        <w:rPr>
          <w:rFonts w:ascii="Arial" w:cs="Arial" w:eastAsia="Arial" w:hAnsi="Arial"/>
          <w:b/>
          <w:bCs/>
          <w:color w:val="1565C0"/>
          <w:sz w:val="26"/>
          <w:szCs w:val="26"/>
        </w:rPr>
        <w:t xml:space="preserve">5.2 Disponibilità e Resilienza</w:t>
      </w:r>
    </w:p>
    <w:p>
      <w:pPr>
        <w:pStyle w:val="ListParagraph"/>
        <w:numPr>
          <w:ilvl w:val="0"/>
          <w:numId w:val="2"/>
        </w:numPr>
        <w:spacing w:after="40" w:before="40"/>
      </w:pPr>
      <w:r>
        <w:rPr>
          <w:rFonts w:ascii="Arial" w:cs="Arial" w:eastAsia="Arial" w:hAnsi="Arial"/>
          <w:color w:val="212121"/>
          <w:sz w:val="22"/>
          <w:szCs w:val="22"/>
        </w:rPr>
        <w:t xml:space="preserve">Disponibilità target sistema TMC: 99.5% (downtime massimo ~44 ore/anno)</w:t>
      </w:r>
    </w:p>
    <w:p>
      <w:pPr>
        <w:pStyle w:val="ListParagraph"/>
        <w:numPr>
          <w:ilvl w:val="0"/>
          <w:numId w:val="2"/>
        </w:numPr>
        <w:spacing w:after="40" w:before="40"/>
      </w:pPr>
      <w:r>
        <w:rPr>
          <w:rFonts w:ascii="Arial" w:cs="Arial" w:eastAsia="Arial" w:hAnsi="Arial"/>
          <w:color w:val="212121"/>
          <w:sz w:val="22"/>
          <w:szCs w:val="22"/>
        </w:rPr>
        <w:t xml:space="preserve">Ogni ATC opera autonomamente con piano fisso in caso di perdita connessione TMC</w:t>
      </w:r>
    </w:p>
    <w:p>
      <w:pPr>
        <w:pStyle w:val="ListParagraph"/>
        <w:numPr>
          <w:ilvl w:val="0"/>
          <w:numId w:val="2"/>
        </w:numPr>
        <w:spacing w:after="40" w:before="40"/>
      </w:pPr>
      <w:r>
        <w:rPr>
          <w:rFonts w:ascii="Arial" w:cs="Arial" w:eastAsia="Arial" w:hAnsi="Arial"/>
          <w:color w:val="212121"/>
          <w:sz w:val="22"/>
          <w:szCs w:val="22"/>
        </w:rPr>
        <w:t xml:space="preserve">Il Modulo Sicurezza Attiva è l'ultimo a cedere: mantiene le funzioni salvavita anche in degraded mode</w:t>
      </w:r>
    </w:p>
    <w:p>
      <w:pPr>
        <w:pStyle w:val="ListParagraph"/>
        <w:numPr>
          <w:ilvl w:val="0"/>
          <w:numId w:val="2"/>
        </w:numPr>
        <w:spacing w:after="40" w:before="40"/>
      </w:pPr>
      <w:r>
        <w:rPr>
          <w:rFonts w:ascii="Arial" w:cs="Arial" w:eastAsia="Arial" w:hAnsi="Arial"/>
          <w:color w:val="212121"/>
          <w:sz w:val="22"/>
          <w:szCs w:val="22"/>
        </w:rPr>
        <w:t xml:space="preserve">Kafka: replica factor 3, nessun single point of failure nel processing</w:t>
      </w:r>
    </w:p>
    <w:p>
      <w:pPr>
        <w:pStyle w:val="ListParagraph"/>
        <w:numPr>
          <w:ilvl w:val="0"/>
          <w:numId w:val="2"/>
        </w:numPr>
        <w:spacing w:after="40" w:before="40"/>
      </w:pPr>
      <w:r>
        <w:rPr>
          <w:rFonts w:ascii="Arial" w:cs="Arial" w:eastAsia="Arial" w:hAnsi="Arial"/>
          <w:color w:val="212121"/>
          <w:sz w:val="22"/>
          <w:szCs w:val="22"/>
        </w:rPr>
        <w:t xml:space="preserve">InfluxDB / TimescaleDB: backup incrementale ogni 15 minuti, replica su nodo secondario</w:t>
      </w:r>
    </w:p>
    <w:p>
      <w:pPr>
        <w:pStyle w:val="ListParagraph"/>
        <w:numPr>
          <w:ilvl w:val="0"/>
          <w:numId w:val="2"/>
        </w:numPr>
        <w:spacing w:after="40" w:before="40"/>
      </w:pPr>
      <w:r>
        <w:rPr>
          <w:rFonts w:ascii="Arial" w:cs="Arial" w:eastAsia="Arial" w:hAnsi="Arial"/>
          <w:color w:val="212121"/>
          <w:sz w:val="22"/>
          <w:szCs w:val="22"/>
        </w:rPr>
        <w:t xml:space="preserve">Failover 4G automatico entro 30 secondi su link fibra primario</w:t>
      </w:r>
    </w:p>
    <w:p>
      <w:pPr>
        <w:pStyle w:val="Heading2"/>
        <w:spacing w:after="120" w:before="240"/>
      </w:pPr>
      <w:r>
        <w:rPr>
          <w:rFonts w:ascii="Arial" w:cs="Arial" w:eastAsia="Arial" w:hAnsi="Arial"/>
          <w:b/>
          <w:bCs/>
          <w:color w:val="1565C0"/>
          <w:sz w:val="26"/>
          <w:szCs w:val="26"/>
        </w:rPr>
        <w:t xml:space="preserve">5.3 Conformità Privacy e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thick" w:color="2E7D32" w:sz="12"/>
              <w:bottom w:val="single" w:color="2E7D32" w:sz="3"/>
              <w:right w:val="single" w:color="2E7D32" w:sz="1"/>
            </w:tcBorders>
            <w:shd w:fill="E8F5E9" w:val="clear"/>
            <w:tcMar>
              <w:top w:type="dxa" w:w="80"/>
              <w:left w:type="dxa" w:w="160"/>
              <w:bottom w:type="dxa" w:w="80"/>
              <w:right w:type="dxa" w:w="160"/>
            </w:tcMar>
          </w:tcPr>
          <w:p>
            <w:r>
              <w:rPr>
                <w:rFonts w:ascii="Arial" w:cs="Arial" w:eastAsia="Arial" w:hAnsi="Arial"/>
                <w:color w:val="212121"/>
                <w:sz w:val="20"/>
                <w:szCs w:val="20"/>
              </w:rPr>
              <w:t xml:space="preserve">Privacy by Design e Privacy by Default (GDPR Art. 25): il sistema è progettato per non raccogliere dati personali. Le telecamere eseguono il riconoscimento oggetti sull'edge device e trasmettono esclusivamente conteggi aggregati anonimi. Nessuna immagine, volto, targa o dato identificativo viene trasmesso, archiviato o analizzato al di fuori dell'edge processor. Il sistema è conforme al Regolamento (UE) 2016/679 (GDPR) per design.</w:t>
            </w:r>
          </w:p>
        </w:tc>
      </w:tr>
    </w:tbl>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5.3.1 Base Giuridica del Trattamento</w:t>
      </w:r>
    </w:p>
    <w:p>
      <w:pPr>
        <w:spacing w:after="80" w:before="80" w:line="320"/>
      </w:pPr>
      <w:r>
        <w:rPr>
          <w:rFonts w:ascii="Arial" w:cs="Arial" w:eastAsia="Arial" w:hAnsi="Arial"/>
          <w:color w:val="212121"/>
          <w:sz w:val="22"/>
          <w:szCs w:val="22"/>
        </w:rPr>
        <w:t xml:space="preserve">Ai sensi dell'Art. 6 GDPR, il trattamento dei dati tecnici aggregati prodotti dal sistema si fonda sul legittimo interesse pubblico (Art. 6 comma 1 lettera e) — esercizio di pubblici poteri — e sull'adempimento di obblighi derivanti dalla normativa europea ITS (Direttiva 2010/40/UE e atti delegati). Poiché il sistema è progettato per non trattare dati personali, la maggior parte del trattamento non ricade sotto l'ambito di applicazione GDPR.</w:t>
      </w:r>
    </w:p>
    <w:p>
      <w:pPr>
        <w:pStyle w:val="Heading3"/>
        <w:spacing w:after="80" w:before="180"/>
      </w:pPr>
      <w:r>
        <w:rPr>
          <w:rFonts w:ascii="Arial" w:cs="Arial" w:eastAsia="Arial" w:hAnsi="Arial"/>
          <w:b/>
          <w:bCs/>
          <w:color w:val="2E7D32"/>
          <w:sz w:val="22"/>
          <w:szCs w:val="22"/>
        </w:rPr>
        <w:t xml:space="preserve">5.3.2 Registro dei Trattamenti (Art. 30 GDPR)</w:t>
      </w:r>
    </w:p>
    <w:p>
      <w:pPr>
        <w:spacing w:after="80" w:before="80" w:line="320"/>
      </w:pPr>
      <w:r>
        <w:rPr>
          <w:rFonts w:ascii="Arial" w:cs="Arial" w:eastAsia="Arial" w:hAnsi="Arial"/>
          <w:color w:val="212121"/>
          <w:sz w:val="22"/>
          <w:szCs w:val="22"/>
        </w:rPr>
        <w:t xml:space="preserve">Il Comune di Prato, in qualità di Titolare del Trattamento, mantiene il Registro ex Art. 30 per i trattamenti residuali del sistema PratoMiMuovo. Le attività di trattamento identificate sono: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800"/>
        <w:gridCol w:w="1900"/>
        <w:gridCol w:w="2160"/>
      </w:tblGrid>
      <w:tr>
        <w:trPr>
          <w:tblHeader/>
        </w:trPr>
        <w:tc>
          <w:tcPr>
            <w:tcW w:type="dxa" w:w="17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Categoria Dato</w:t>
            </w:r>
          </w:p>
        </w:tc>
        <w:tc>
          <w:tcPr>
            <w:tcW w:type="dxa" w:w="1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Raccolta</w:t>
            </w:r>
          </w:p>
        </w:tc>
        <w:tc>
          <w:tcPr>
            <w:tcW w:type="dxa" w:w="1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Trasmissione</w:t>
            </w:r>
          </w:p>
        </w:tc>
        <w:tc>
          <w:tcPr>
            <w:tcW w:type="dxa" w:w="19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Conservazione</w:t>
            </w:r>
          </w:p>
        </w:tc>
        <w:tc>
          <w:tcPr>
            <w:tcW w:type="dxa" w:w="21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Base Giuridica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Immagini telecamere (raw)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Edge device locale — elaborazione real-time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NON trasmesse — elaborazione locale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NON conservate — cancellazione immediata dopo inferenza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N/A — non esce dall'edge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Conteggio veicoli per tipo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Edge device — solo aggregati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Solo valori numerici anonimi via MQTT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90 giorni raw / 2 anni aggregati su InfluxDB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6(1)(e) — interesse pubblico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Velocità veicoli (radar)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Valore numerico istantaneo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Solo se sopra soglia Dilemma Zone (log evento)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Log eventi per 30 giorni su TSDB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6(1)(e) — sicurezza stradale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Posizione bus LAM (GPS)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GPS on-board CAP / feed GTFS-RT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Feed GTFS-RT: trip_id anonimo + coordinate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7 giorni su TSDB (trip history)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6(1)(e) — TPL / Direttiva 2010/40/UE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Qualità aria (PM10, NO2, 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Sensore IoT — valori fisici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Valore numerico + timestamp + location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 anni aggregati / 5 anni per ARPAT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6(1)(e) — D.Lgs. 155/2010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Audit log comandi ATC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PostgreSQL append-only — azioni operatori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Non trasmesso — solo su DB interno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5 anni (obblighi normativi PA)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6(1)(c) — obbligo legale PA</w:t>
            </w:r>
          </w:p>
        </w:tc>
      </w:tr>
    </w:tbl>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5.3.3 Valutazione d'Impatto (DPIA — Art. 35 GDPR)</w:t>
      </w:r>
    </w:p>
    <w:p>
      <w:pPr>
        <w:spacing w:after="80" w:before="80" w:line="320"/>
      </w:pPr>
      <w:r>
        <w:rPr>
          <w:rFonts w:ascii="Arial" w:cs="Arial" w:eastAsia="Arial" w:hAnsi="Arial"/>
          <w:color w:val="212121"/>
          <w:sz w:val="22"/>
          <w:szCs w:val="22"/>
        </w:rPr>
        <w:t xml:space="preserve">Il sistema PratoMiMuovo non rientra nelle categorie per cui la DPIA è obbligatoria ai sensi dell'Art. 35 GDPR, poiché: (a) non esegue profilazione sistematica di persone fisiche; (b) non tratta categorie particolari di dati (Art. 9); (c) non effettua sorveglianza sistematica di aree pubbliche in senso proprio — le immagini non lasciano mai l'edge device. Tuttavia, per trasparenza e best practice, è prevista una pre-DPIA volontaria prima del deployment della fase telecamere (Fase 2), con consultazione del Garante se ritenuto opportuno.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thick" w:color="1565C0" w:sz="12"/>
              <w:bottom w:val="single" w:color="1565C0" w:sz="3"/>
              <w:right w:val="single" w:color="1565C0" w:sz="1"/>
            </w:tcBorders>
            <w:shd w:fill="DDEEFF" w:val="clear"/>
            <w:tcMar>
              <w:top w:type="dxa" w:w="80"/>
              <w:left w:type="dxa" w:w="160"/>
              <w:bottom w:type="dxa" w:w="80"/>
              <w:right w:type="dxa" w:w="160"/>
            </w:tcMar>
          </w:tcPr>
          <w:p>
            <w:r>
              <w:rPr>
                <w:rFonts w:ascii="Arial" w:cs="Arial" w:eastAsia="Arial" w:hAnsi="Arial"/>
                <w:color w:val="212121"/>
                <w:sz w:val="20"/>
                <w:szCs w:val="20"/>
              </w:rPr>
              <w:t xml:space="preserve">Misura tecnica chiave per la DPIA: l'edge device esegue inferenza YOLOv8 su frame video e distrugge il frame subito dopo. L'output è esclusivamente un contatore (es. {car:3, bus:1, bike:2, ped:0}) senza alcun dato biometrico, di targa o identificativo associato.</w:t>
            </w:r>
          </w:p>
        </w:tc>
      </w:tr>
    </w:tbl>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5.3.4 Diritti degli Interessati (Artt. 15–22 GDPR)</w:t>
      </w:r>
    </w:p>
    <w:p>
      <w:pPr>
        <w:spacing w:after="80" w:before="80" w:line="320"/>
      </w:pPr>
      <w:r>
        <w:rPr>
          <w:rFonts w:ascii="Arial" w:cs="Arial" w:eastAsia="Arial" w:hAnsi="Arial"/>
          <w:color w:val="212121"/>
          <w:sz w:val="22"/>
          <w:szCs w:val="22"/>
        </w:rPr>
        <w:t xml:space="preserve">Poiché il sistema non associa dati a persone fisiche identificabili, i diritti di accesso, rettifica, cancellazione e portabilità (Artt. 15–20) non sono esercitabili in senso tecnico sulle serie storiche di traffico, che sono dati aggregati anonimi. Il Comune pubblica comunque un'Informativa Privacy cittadini ai sensi dell'Art. 13 GDPR, disponibile online e su pannelli informativi nei pressi degli incroci monitorati, che specifica:</w:t>
      </w:r>
    </w:p>
    <w:p>
      <w:pPr>
        <w:pStyle w:val="ListParagraph"/>
        <w:numPr>
          <w:ilvl w:val="0"/>
          <w:numId w:val="2"/>
        </w:numPr>
        <w:spacing w:after="40" w:before="40"/>
      </w:pPr>
      <w:r>
        <w:rPr>
          <w:rFonts w:ascii="Arial" w:cs="Arial" w:eastAsia="Arial" w:hAnsi="Arial"/>
          <w:color w:val="212121"/>
          <w:sz w:val="22"/>
          <w:szCs w:val="22"/>
        </w:rPr>
        <w:t xml:space="preserve">Quali dati NON sono raccolti: immagini, targhe, volti, dati biometrici</w:t>
      </w:r>
    </w:p>
    <w:p>
      <w:pPr>
        <w:pStyle w:val="ListParagraph"/>
        <w:numPr>
          <w:ilvl w:val="0"/>
          <w:numId w:val="2"/>
        </w:numPr>
        <w:spacing w:after="40" w:before="40"/>
      </w:pPr>
      <w:r>
        <w:rPr>
          <w:rFonts w:ascii="Arial" w:cs="Arial" w:eastAsia="Arial" w:hAnsi="Arial"/>
          <w:color w:val="212121"/>
          <w:sz w:val="22"/>
          <w:szCs w:val="22"/>
        </w:rPr>
        <w:t xml:space="preserve">Quali dati sono raccolti: conteggi aggregati di flusso veicolare per categoria</w:t>
      </w:r>
    </w:p>
    <w:p>
      <w:pPr>
        <w:pStyle w:val="ListParagraph"/>
        <w:numPr>
          <w:ilvl w:val="0"/>
          <w:numId w:val="2"/>
        </w:numPr>
        <w:spacing w:after="40" w:before="40"/>
      </w:pPr>
      <w:r>
        <w:rPr>
          <w:rFonts w:ascii="Arial" w:cs="Arial" w:eastAsia="Arial" w:hAnsi="Arial"/>
          <w:color w:val="212121"/>
          <w:sz w:val="22"/>
          <w:szCs w:val="22"/>
        </w:rPr>
        <w:t xml:space="preserve">Chi è il Titolare del Trattamento: Comune di Prato — Ufficio Mobilità</w:t>
      </w:r>
    </w:p>
    <w:p>
      <w:pPr>
        <w:pStyle w:val="ListParagraph"/>
        <w:numPr>
          <w:ilvl w:val="0"/>
          <w:numId w:val="2"/>
        </w:numPr>
        <w:spacing w:after="40" w:before="40"/>
      </w:pPr>
      <w:r>
        <w:rPr>
          <w:rFonts w:ascii="Arial" w:cs="Arial" w:eastAsia="Arial" w:hAnsi="Arial"/>
          <w:color w:val="212121"/>
          <w:sz w:val="22"/>
          <w:szCs w:val="22"/>
        </w:rPr>
        <w:t xml:space="preserve">Chi è il DPO (Data Protection Officer) designato ex Art. 37 GDPR</w:t>
      </w:r>
    </w:p>
    <w:p>
      <w:pPr>
        <w:pStyle w:val="ListParagraph"/>
        <w:numPr>
          <w:ilvl w:val="0"/>
          <w:numId w:val="2"/>
        </w:numPr>
        <w:spacing w:after="40" w:before="40"/>
      </w:pPr>
      <w:r>
        <w:rPr>
          <w:rFonts w:ascii="Arial" w:cs="Arial" w:eastAsia="Arial" w:hAnsi="Arial"/>
          <w:color w:val="212121"/>
          <w:sz w:val="22"/>
          <w:szCs w:val="22"/>
        </w:rPr>
        <w:t xml:space="preserve">Come esercitare i diritti residuali: email DPO, tempi di risposta (max 30 giorni ex Art. 12)</w:t>
      </w:r>
    </w:p>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5.3.5 Data Protection Officer (Art. 37 GDPR)</w:t>
      </w:r>
    </w:p>
    <w:p>
      <w:pPr>
        <w:spacing w:after="80" w:before="80" w:line="320"/>
      </w:pPr>
      <w:r>
        <w:rPr>
          <w:rFonts w:ascii="Arial" w:cs="Arial" w:eastAsia="Arial" w:hAnsi="Arial"/>
          <w:color w:val="212121"/>
          <w:sz w:val="22"/>
          <w:szCs w:val="22"/>
        </w:rPr>
        <w:t xml:space="preserve">Il Comune di Prato ha l'obbligo di designare un DPO ai sensi dell'Art. 37(1)(a) GDPR (autorità pubblica). Il DPO deve essere coinvolto fin dalla fase di progettazione di PratoMiMuovo (Art. 38) per validare le scelte architetturali in termini di privacy. Il DPO deve ricevere notifica dei seguenti eventi operativi: deployment di nuovi sensori, variazioni nei periodi di retention, eventuali data breach (notifica entro 72h ex Art. 33), e richieste di accesso ai dati da parte di soggetti terzi (forze dell'ordine, ecc.).</w:t>
      </w:r>
    </w:p>
    <w:p>
      <w:r>
        <w:br w:type="page"/>
      </w:r>
    </w:p>
    <w:p>
      <w:pPr>
        <w:pStyle w:val="Heading2"/>
        <w:spacing w:after="120" w:before="240"/>
      </w:pPr>
      <w:r>
        <w:rPr>
          <w:rFonts w:ascii="Arial" w:cs="Arial" w:eastAsia="Arial" w:hAnsi="Arial"/>
          <w:b/>
          <w:bCs/>
          <w:color w:val="1565C0"/>
          <w:sz w:val="26"/>
          <w:szCs w:val="26"/>
        </w:rPr>
        <w:t xml:space="preserve">5.4 Conformità Cybersecurity</w:t>
      </w:r>
    </w:p>
    <w:p>
      <w:pPr>
        <w:pStyle w:val="Heading3"/>
        <w:spacing w:after="80" w:before="180"/>
      </w:pPr>
      <w:r>
        <w:rPr>
          <w:rFonts w:ascii="Arial" w:cs="Arial" w:eastAsia="Arial" w:hAnsi="Arial"/>
          <w:b/>
          <w:bCs/>
          <w:color w:val="2E7D32"/>
          <w:sz w:val="22"/>
          <w:szCs w:val="22"/>
        </w:rPr>
        <w:t xml:space="preserve">5.4.1 Inquadramento Normativo</w:t>
      </w:r>
    </w:p>
    <w:p>
      <w:pPr>
        <w:spacing w:after="80" w:before="80" w:line="320"/>
      </w:pPr>
      <w:r>
        <w:rPr>
          <w:rFonts w:ascii="Arial" w:cs="Arial" w:eastAsia="Arial" w:hAnsi="Arial"/>
          <w:color w:val="212121"/>
          <w:sz w:val="22"/>
          <w:szCs w:val="22"/>
        </w:rPr>
        <w:t xml:space="preserve">Il sistema PratoMiMuovo gestisce infrastrutture critiche per la mobilità urbana. Il framework normativo di riferimento è composto da: Direttiva NIS2 (UE 2022/2555), recepita in Italia con D.Lgs. 138/2024, che classifica i sistemi ITS comunali come soggetti importanti nel settore trasporti; ISO/IEC 27001:2022 per il sistema di gestione della sicurezza delle informazioni (ISMS); IEC 62443 per la cybersecurity dei sistemi di controllo industriale e ITS; NIST Cybersecurity Framework 2.0 come riferimento metodologico.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3"/>
              <w:left w:val="thick" w:color="E65100" w:sz="12"/>
              <w:bottom w:val="single" w:color="E65100" w:sz="3"/>
              <w:right w:val="single" w:color="E65100" w:sz="1"/>
            </w:tcBorders>
            <w:shd w:fill="FFF3E0" w:val="clear"/>
            <w:tcMar>
              <w:top w:type="dxa" w:w="80"/>
              <w:left w:type="dxa" w:w="160"/>
              <w:bottom w:type="dxa" w:w="80"/>
              <w:right w:type="dxa" w:w="160"/>
            </w:tcMar>
          </w:tcPr>
          <w:p>
            <w:r>
              <w:rPr>
                <w:rFonts w:ascii="Arial" w:cs="Arial" w:eastAsia="Arial" w:hAnsi="Arial"/>
                <w:color w:val="212121"/>
                <w:sz w:val="20"/>
                <w:szCs w:val="20"/>
              </w:rPr>
              <w:t xml:space="preserve">Classificazione NIS2: il Comune di Prato come gestore di infrastrutture ITS urbane rientra nel perimetro NIS2 (Allegato II, settore trasporti — infrastrutture stradali). Obbligo di registrazione ad ACN (Agenzia per la Cybersicurezza Nazionale) e notifica degli incidenti significativi entro 24h (early warning) / 72h (notifica completa).</w:t>
            </w:r>
          </w:p>
        </w:tc>
      </w:tr>
    </w:tbl>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5.4.2 Requisiti NIS2 (D.Lgs. 138/2024)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Obbligo NIS2</w:t>
            </w:r>
          </w:p>
        </w:tc>
        <w:tc>
          <w:tcPr>
            <w:tcW w:type="dxa" w:w="12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Articolo</w:t>
            </w:r>
          </w:p>
        </w:tc>
        <w:tc>
          <w:tcPr>
            <w:tcW w:type="dxa" w:w="59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Implementazione in PratoMiMuovo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Misure di gestione del rischio cyber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21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Risk assessment annuale ISMS, vulnerability scanning trimestrale, patch management documentato per tutti i componenti (Kafka, EMQX, 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Sicurezza della supply chain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21(2)(d)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Requisiti security nei capitolati di gara per ATC, sensori e gateway. Verifica certificazioni fornitori (ISO 27001 o equivalente)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Crittografia e gestione chiavi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21(2)(h)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TLS 1.3 obbligatorio su tutti i canali. PKI interna per certificati mTLS dispositivi IoT. Rotazione chiavi annuale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Continuità operativa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21(2)(c)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RTO 30s per failover 4G. RPO 15min per backup TSDB. Piano di Business Continuity documentato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Notifica incidenti significativi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23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Procedura documentata: early warning 24h ad ACN, notifica completa 72h, relazione finale 30 giorni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Formazione del personale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21(2)(g)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Training annuale obbligatorio su cybersecurity per operatori TMC e amministratori di sistema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Autenticazione multi-fattore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Art. 21(2)(j)</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MFA obbligatorio per accesso dashboard operatori H24 e per accesso amministrativo ai server TMC</w:t>
            </w:r>
          </w:p>
        </w:tc>
      </w:tr>
    </w:tbl>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5.4.3 IEC 62443 — Sicurezza Sistemi di Controllo Industriale / ITS</w:t>
      </w:r>
    </w:p>
    <w:p>
      <w:pPr>
        <w:spacing w:after="80" w:before="80" w:line="320"/>
      </w:pPr>
      <w:r>
        <w:rPr>
          <w:rFonts w:ascii="Arial" w:cs="Arial" w:eastAsia="Arial" w:hAnsi="Arial"/>
          <w:color w:val="212121"/>
          <w:sz w:val="22"/>
          <w:szCs w:val="22"/>
        </w:rPr>
        <w:t xml:space="preserve">La norma IEC 62443 (Industrial Automation and Control Systems Security) è applicata alla componente di controllo semaforico (ATC — Adaptive Traffic Controller), che costituisce il sottosistema di Operational Technology (OT) del progetto. Il Security Level target per il sistema ATC è SL-2 (protezione contro attaccanti con risorse moderate e motivazione specifica).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Requisito IEC 62443</w:t>
            </w:r>
          </w:p>
        </w:tc>
        <w:tc>
          <w:tcPr>
            <w:tcW w:type="dxa" w:w="14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Security Level</w:t>
            </w:r>
          </w:p>
        </w:tc>
        <w:tc>
          <w:tcPr>
            <w:tcW w:type="dxa" w:w="55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Implementazione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Segmentazione di rete OT/IT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SL-2 (SR 5.1)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Rete ATC isolata da rete IT TMC tramite firewall industriale (es. Fortinet o equivalente). DMZ dedicata per interfaccia REST API ATC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Controllo accessi ai dispositivi di campo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SL-2 (SR 1.1)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Accesso SSH ai gateway solo da IP TMC autorizzati. Autenticazione basata su certificato. Nessun accesso diretto da rete pubblica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Integrità dei comandi semaforici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SL-2 (SR 3.1)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Firma digitale su tutti i comandi CMD trasmessi agli ATC. Verifica integrità lato ATC prima dell'esecuzione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Failsafe e risposta ad anomalie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SL-2 (SR 6.2)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Piano fisso locale su ogni ATC. Ripristino automatico entro 30s da perdita connessione TMC. Watchdog hardware indipendente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Audit trail dei comandi 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SL-2 (SR 2.8)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Log append-only su PostgreSQL di tutti i comandi inviati agli ATC: timestamp, comando, operatore/sistema sorgente, risposta ATC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Patch e vulnerability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SL-2 (SR 7.6)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Finestra di manutenzione notturna (02:00–04:00) per aggiornamenti firmware ATC. Test su ambiente staging prima del deploy in produzione</w:t>
            </w:r>
          </w:p>
        </w:tc>
      </w:tr>
    </w:tbl>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5.4.4 Architettura di Sicurezza — Requisiti Implementativi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Layer</w:t>
            </w:r>
          </w:p>
        </w:tc>
        <w:tc>
          <w:tcPr>
            <w:tcW w:type="dxa" w:w="1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Componente</w:t>
            </w:r>
          </w:p>
        </w:tc>
        <w:tc>
          <w:tcPr>
            <w:tcW w:type="dxa" w:w="59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Requisito di Sicurezza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Sensing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Sensori IoT / Gateway LoRaWAN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mTLS per ogni dispositivo — certificato X.509 univoco per device. Join OTAA LoRaWAN con AppKey a 128 bit AES. Disabilitazione ABP (Activation By Personalization)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Communication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MQTT Broker EMQX</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TLS 1.3 obbligatorio. ACL per topic: ogni dispositivo pubblica solo sui propri topic /prato/{zone}/{device}/#. Audit log di autenticazione attivato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Processing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Apache Kafka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Autenticazione SASL/SCRAM-SHA-512 tra producer e broker. Cifratura a riposo dei topic contenenti dati operativi. Network policy Kubernetes: solo pod autorizzati accedono al broker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Processing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TMC Server / API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Zero Trust: no implicit trust. Ogni chiamata API autenticata con JWT + mTLS. Rate limiting per prevenire DoS. WAF (Web Application Firewall) davanti alle API REST pubbliche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Actuator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ATC — Controller Semaforici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Rete OT segregata (IEC 62443). Firma digitale comandi. Piano fisso locale come failsafe. Watchdog hardware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Integration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ARPAT API / GTFS-RT / DATEX II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Validazione schema di tutti i feed in ingresso. Sandbox di elaborazione per feed esterni. Timeout e circuit breaker per API esterne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Dashboard / Operatori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Grafana + Mapbox GL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MFA obbligatorio (TOTP o FIDO2). RBAC: 3 ruoli (Operatore / Supervisore / Amministratore). Session timeout 30 minuti. IP allowlist per accesso amministrativo</w:t>
            </w:r>
          </w:p>
        </w:tc>
      </w:tr>
    </w:tbl>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5.4.5 Gestione Vulnerabilità e Penetration Testing</w:t>
      </w:r>
    </w:p>
    <w:p>
      <w:pPr>
        <w:spacing w:after="80" w:before="80" w:line="320"/>
      </w:pPr>
      <w:r>
        <w:rPr>
          <w:rFonts w:ascii="Arial" w:cs="Arial" w:eastAsia="Arial" w:hAnsi="Arial"/>
          <w:color w:val="212121"/>
          <w:sz w:val="22"/>
          <w:szCs w:val="22"/>
        </w:rPr>
        <w:t xml:space="preserve">Il piano di vulnerability management prevede le seguenti attività ricorrenti:</w:t>
      </w:r>
    </w:p>
    <w:p>
      <w:pPr>
        <w:pStyle w:val="ListParagraph"/>
        <w:numPr>
          <w:ilvl w:val="0"/>
          <w:numId w:val="2"/>
        </w:numPr>
        <w:spacing w:after="40" w:before="40"/>
      </w:pPr>
      <w:r>
        <w:rPr>
          <w:rFonts w:ascii="Arial" w:cs="Arial" w:eastAsia="Arial" w:hAnsi="Arial"/>
          <w:color w:val="212121"/>
          <w:sz w:val="22"/>
          <w:szCs w:val="22"/>
        </w:rPr>
        <w:t xml:space="preserve">Vulnerability scanning automatico (es. Nessus / OpenVAS) su tutti i componenti TMC — frequenza: settimanale</w:t>
      </w:r>
    </w:p>
    <w:p>
      <w:pPr>
        <w:pStyle w:val="ListParagraph"/>
        <w:numPr>
          <w:ilvl w:val="0"/>
          <w:numId w:val="2"/>
        </w:numPr>
        <w:spacing w:after="40" w:before="40"/>
      </w:pPr>
      <w:r>
        <w:rPr>
          <w:rFonts w:ascii="Arial" w:cs="Arial" w:eastAsia="Arial" w:hAnsi="Arial"/>
          <w:color w:val="212121"/>
          <w:sz w:val="22"/>
          <w:szCs w:val="22"/>
        </w:rPr>
        <w:t xml:space="preserve">Penetration test esterno (VAPT) obbligatorio prima di ogni fase di deployment su rete produzione — frequenza: prima di Fase 1, Fase 2, Fase 3</w:t>
      </w:r>
    </w:p>
    <w:p>
      <w:pPr>
        <w:pStyle w:val="ListParagraph"/>
        <w:numPr>
          <w:ilvl w:val="0"/>
          <w:numId w:val="2"/>
        </w:numPr>
        <w:spacing w:after="40" w:before="40"/>
      </w:pPr>
      <w:r>
        <w:rPr>
          <w:rFonts w:ascii="Arial" w:cs="Arial" w:eastAsia="Arial" w:hAnsi="Arial"/>
          <w:color w:val="212121"/>
          <w:sz w:val="22"/>
          <w:szCs w:val="22"/>
        </w:rPr>
        <w:t xml:space="preserve">Revisione dipendenze software (npm audit, pip-audit, trivy per container) — frequenza: ad ogni build CI/CD</w:t>
      </w:r>
    </w:p>
    <w:p>
      <w:pPr>
        <w:pStyle w:val="ListParagraph"/>
        <w:numPr>
          <w:ilvl w:val="0"/>
          <w:numId w:val="2"/>
        </w:numPr>
        <w:spacing w:after="40" w:before="40"/>
      </w:pPr>
      <w:r>
        <w:rPr>
          <w:rFonts w:ascii="Arial" w:cs="Arial" w:eastAsia="Arial" w:hAnsi="Arial"/>
          <w:color w:val="212121"/>
          <w:sz w:val="22"/>
          <w:szCs w:val="22"/>
        </w:rPr>
        <w:t xml:space="preserve">Red team exercise annuale focalizzato su scenario di attacco al sistema di controllo semaforico</w:t>
      </w:r>
    </w:p>
    <w:p>
      <w:pPr>
        <w:pStyle w:val="ListParagraph"/>
        <w:numPr>
          <w:ilvl w:val="0"/>
          <w:numId w:val="2"/>
        </w:numPr>
        <w:spacing w:after="40" w:before="40"/>
      </w:pPr>
      <w:r>
        <w:rPr>
          <w:rFonts w:ascii="Arial" w:cs="Arial" w:eastAsia="Arial" w:hAnsi="Arial"/>
          <w:color w:val="212121"/>
          <w:sz w:val="22"/>
          <w:szCs w:val="22"/>
        </w:rPr>
        <w:t xml:space="preserve">Responsible disclosure policy pubblicata: canale di segnalazione vulnerabilità per ricercatori di sicurezza esterni</w:t>
      </w:r>
    </w:p>
    <w:p>
      <w:pPr>
        <w:spacing w:after="0" w:before="0"/>
      </w:pPr>
      <w:r>
        <w:rPr>
          <w:rFonts w:ascii="Arial" w:cs="Arial" w:eastAsia="Arial" w:hAnsi="Arial"/>
          <w:sz w:val="22"/>
          <w:szCs w:val="22"/>
        </w:rPr>
        <w:t xml:space="preserve"/>
      </w:r>
    </w:p>
    <w:p>
      <w:pPr>
        <w:pStyle w:val="Heading3"/>
        <w:spacing w:after="80" w:before="180"/>
      </w:pPr>
      <w:r>
        <w:rPr>
          <w:rFonts w:ascii="Arial" w:cs="Arial" w:eastAsia="Arial" w:hAnsi="Arial"/>
          <w:b/>
          <w:bCs/>
          <w:color w:val="2E7D32"/>
          <w:sz w:val="22"/>
          <w:szCs w:val="22"/>
        </w:rPr>
        <w:t xml:space="preserve">5.4.6 Incident Response — Piano di Risposta agli Incidenti</w:t>
      </w:r>
    </w:p>
    <w:p>
      <w:pPr>
        <w:spacing w:after="80" w:before="80" w:line="320"/>
      </w:pPr>
      <w:r>
        <w:rPr>
          <w:rFonts w:ascii="Arial" w:cs="Arial" w:eastAsia="Arial" w:hAnsi="Arial"/>
          <w:color w:val="212121"/>
          <w:sz w:val="22"/>
          <w:szCs w:val="22"/>
        </w:rPr>
        <w:t xml:space="preserve">In conformità con NIS2 Art. 23 e le best practice NIST CSF (Respond/Recover), il piano di Incident Response di PratoMiMuovo definisce le seguenti fasi: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400"/>
        <w:gridCol w:w="2560"/>
      </w:tblGrid>
      <w:tr>
        <w:trPr>
          <w:tblHeader/>
        </w:trPr>
        <w:tc>
          <w:tcPr>
            <w:tcW w:type="dxa" w:w="1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Fase</w:t>
            </w:r>
          </w:p>
        </w:tc>
        <w:tc>
          <w:tcPr>
            <w:tcW w:type="dxa" w:w="36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Azioni</w:t>
            </w:r>
          </w:p>
        </w:tc>
        <w:tc>
          <w:tcPr>
            <w:tcW w:type="dxa" w:w="14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Tempi</w:t>
            </w:r>
          </w:p>
        </w:tc>
        <w:tc>
          <w:tcPr>
            <w:tcW w:type="dxa" w:w="25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Responsabile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Rilevamento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Alert automatico da SIEM. Analisi log EMQX, Kafka, ATC. Classificazione severità (P1–P4)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15 minuti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NOC / Sistema automatico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Contenimento (Protect)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Isolamento componente compromesso. Attivazione piano fisso su ATC interessati. Blocco credenziali sospette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30 minuti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Amministratore TMC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Notifica Early Warning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Notifica ad ACN (Agenzia Cybersicurezza Nazionale) per incidenti significativi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24 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CISO / DPO Comune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Notifica Completa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Rapporto dettagliato ad ACN. Eventuale comunicazione al Garante se coinvolti dati personali (GDPR Art. 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72 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CISO Comune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Eradicazione e Ripristino (Recover)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Patch / remediation. Restore da backup validato. Test regressione. Rientro in produzione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4 ore (RTO)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Team Tecnico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Post-Incident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Root cause analysis. Aggiornamento ISMS. Lessons learned. Rapporto finale ad ACN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&lt; 30 giorni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CISO + Team Tecnico</w:t>
            </w:r>
          </w:p>
        </w:tc>
      </w:tr>
    </w:tbl>
    <w:p>
      <w:r>
        <w:br w:type="page"/>
      </w:r>
    </w:p>
    <w:p>
      <w:pPr>
        <w:pStyle w:val="Heading1"/>
        <w:spacing w:after="180" w:before="300"/>
      </w:pPr>
      <w:r>
        <w:rPr>
          <w:rFonts w:ascii="Arial" w:cs="Arial" w:eastAsia="Arial" w:hAnsi="Arial"/>
          <w:b/>
          <w:bCs/>
          <w:color w:val="1A237E"/>
          <w:sz w:val="32"/>
          <w:szCs w:val="32"/>
        </w:rPr>
        <w:t xml:space="preserve">6. Standard e Protocolli</w:t>
      </w:r>
    </w:p>
    <w:p>
      <w:pPr>
        <w:spacing w:after="80" w:before="80" w:line="320"/>
      </w:pPr>
      <w:r>
        <w:rPr>
          <w:rFonts w:ascii="Arial" w:cs="Arial" w:eastAsia="Arial" w:hAnsi="Arial"/>
          <w:color w:val="212121"/>
          <w:sz w:val="22"/>
          <w:szCs w:val="22"/>
        </w:rPr>
        <w:t xml:space="preserve">La scelta degli open standard è una decisione strategica fondamentale: il Comune non deve diventare ostaggio di un singolo fornitore. Tutti i protocolli adottati sono standard internazionali aperti, che garantiscono la possibilità di sostituire qualsiasi componente senza dover rifare l'intera infrastruttura.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Standard / Protocollo</w:t>
            </w:r>
          </w:p>
        </w:tc>
        <w:tc>
          <w:tcPr>
            <w:tcW w:type="dxa" w:w="2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Ambito</w:t>
            </w:r>
          </w:p>
        </w:tc>
        <w:tc>
          <w:tcPr>
            <w:tcW w:type="dxa" w:w="53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Perché è stato scelto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DATEX 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Scambio dati traffico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Standard europeo obbligatorio per sistemi ITS. Compatibile con Google Maps, Waze, sistemi regionali Toscana.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GTFS / GTFS-RT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Dati trasporto pubblico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Standard de facto mondiale per TPL. Usato da tutti i principali navigatori.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LoRaWAN (EU868)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Sensori IoT a lungo raggio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Basso consumo, lungo raggio (&gt;1km in area urbana), rete di proprietà comunale a costo operativo zero.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MQTT 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Messaggistica IoT real-time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Standard OASIS per IoT. Leggero, veloce, QoS configurabile.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NTCIP 1202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Controller semaforici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Standard NEMA/AASHTO per ATC. Supportato da tutti i principali produttori.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INSPIRE / OGC SOS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Dati ambientali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Standard europeo per dati ARPAT e sensori ambientali.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Apache Kafka (Avro)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Streaming interno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De facto standard per event streaming ad alta scalabilità.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OpenStreetMap / PostGIS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Dati geografici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Open data geografici con supporto GIS completo.</w:t>
            </w:r>
          </w:p>
        </w:tc>
      </w:tr>
    </w:tbl>
    <w:p>
      <w:r>
        <w:br w:type="page"/>
      </w:r>
    </w:p>
    <w:p>
      <w:pPr>
        <w:pStyle w:val="Heading1"/>
        <w:spacing w:after="180" w:before="300"/>
      </w:pPr>
      <w:r>
        <w:rPr>
          <w:rFonts w:ascii="Arial" w:cs="Arial" w:eastAsia="Arial" w:hAnsi="Arial"/>
          <w:b/>
          <w:bCs/>
          <w:color w:val="1A237E"/>
          <w:sz w:val="32"/>
          <w:szCs w:val="32"/>
        </w:rPr>
        <w:t xml:space="preserve">7. Requisiti Hardware di Campo</w:t>
      </w:r>
    </w:p>
    <w:p>
      <w:pPr>
        <w:pStyle w:val="Heading2"/>
        <w:spacing w:after="120" w:before="240"/>
      </w:pPr>
      <w:r>
        <w:rPr>
          <w:rFonts w:ascii="Arial" w:cs="Arial" w:eastAsia="Arial" w:hAnsi="Arial"/>
          <w:b/>
          <w:bCs/>
          <w:color w:val="1565C0"/>
          <w:sz w:val="26"/>
          <w:szCs w:val="26"/>
        </w:rPr>
        <w:t xml:space="preserve">7.1 Sensori per Incrocio (Configurazione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Componente</w:t>
            </w:r>
          </w:p>
        </w:tc>
        <w:tc>
          <w:tcPr>
            <w:tcW w:type="dxa" w:w="45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Specifiche Minime</w:t>
            </w:r>
          </w:p>
        </w:tc>
        <w:tc>
          <w:tcPr>
            <w:tcW w:type="dxa" w:w="26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Qtà / Incrocio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Telecamera IP edge-AI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4K, IP67, edge processor NPU ≥ 2 TOPS, YOLOv8 ottimizzato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Radar Doppler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24 GHz FMCW, range 5–150m, ±1 km/h, IP67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1–2 (corsie critiche)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Sensore IR Termico (PIR)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PIR + termocamera 8x8, LoRaWAN Class A, IP65, batteria 5+ anni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1–2 (strisce pedonali)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Spire Induttive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Doppia spira per corsia, interfaccia RS-485, IP68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2–8 (per corsia)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Gateway LoRaWAN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EU868, 8 canali, IP67, montaggio palo, connessione fibra/4G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 ogni 10 incroci</w:t>
            </w:r>
          </w:p>
        </w:tc>
      </w:tr>
    </w:tbl>
    <w:p>
      <w:pPr>
        <w:pStyle w:val="Heading2"/>
        <w:spacing w:after="120" w:before="240"/>
      </w:pPr>
      <w:r>
        <w:rPr>
          <w:rFonts w:ascii="Arial" w:cs="Arial" w:eastAsia="Arial" w:hAnsi="Arial"/>
          <w:b/>
          <w:bCs/>
          <w:color w:val="1565C0"/>
          <w:sz w:val="26"/>
          <w:szCs w:val="26"/>
        </w:rPr>
        <w:t xml:space="preserve">7.2 Adaptive Traffic Controller (ATC)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Requisito</w:t>
            </w:r>
          </w:p>
        </w:tc>
        <w:tc>
          <w:tcPr>
            <w:tcW w:type="dxa" w:w="65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Specifica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Standard di comunicazione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NTCIP 1202 v3 obbligatorio, UTMC consigliato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Interfaccia di controllo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REST API documentata (OpenAPI 3.0) o SNMP 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Piano fisso locale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Storage locale per almeno 8 piani di ciclo di backup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Watchdog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Ripristino automatico piano fisso entro 30s da perdita connessione TMC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Protezione ambientale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IP54 minimo per armadio stradale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Alimentazione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220V AC con UPS integrato (30 min autonomia)</w:t>
            </w:r>
          </w:p>
        </w:tc>
      </w:tr>
    </w:tbl>
    <w:p>
      <w:r>
        <w:br w:type="page"/>
      </w:r>
    </w:p>
    <w:p>
      <w:pPr>
        <w:pStyle w:val="Heading1"/>
        <w:spacing w:after="180" w:before="300"/>
      </w:pPr>
      <w:r>
        <w:rPr>
          <w:rFonts w:ascii="Arial" w:cs="Arial" w:eastAsia="Arial" w:hAnsi="Arial"/>
          <w:b/>
          <w:bCs/>
          <w:color w:val="1A237E"/>
          <w:sz w:val="32"/>
          <w:szCs w:val="32"/>
        </w:rPr>
        <w:t xml:space="preserve">8. Piano di Deployment (Fasi)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200"/>
        <w:gridCol w:w="4060"/>
      </w:tblGrid>
      <w:tr>
        <w:trPr>
          <w:tblHeader/>
        </w:trPr>
        <w:tc>
          <w:tcPr>
            <w:tcW w:type="dxa" w:w="16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Fase</w:t>
            </w:r>
          </w:p>
        </w:tc>
        <w:tc>
          <w:tcPr>
            <w:tcW w:type="dxa" w:w="35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Perimetro</w:t>
            </w:r>
          </w:p>
        </w:tc>
        <w:tc>
          <w:tcPr>
            <w:tcW w:type="dxa" w:w="12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Durata</w:t>
            </w:r>
          </w:p>
        </w:tc>
        <w:tc>
          <w:tcPr>
            <w:tcW w:type="dxa" w:w="40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Obiettivo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Fase 1 — Pilota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5 incroci critici del centro storico (es. P.za del Duomo, Via Garibaldi/Serragli)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6 mesi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Validazione tecnologica, calibrazione modelli AI, raccolta dati baseline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Fase 2 — Corridoi LAM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Corridoi bus LAM 1 e LAM 2, ~30 incroci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12 mesi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Bus Priority attivo, Environmental TM su canyon urbani, Open Data portal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Fase 3 — Copertura completa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Rete semaforica completa Prato, ~150 incroci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18 mesi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Sistema a regime, integrazione DATEX II con sistemi regionali Toscana</w:t>
            </w:r>
          </w:p>
        </w:tc>
      </w:tr>
    </w:tbl>
    <w:p>
      <w:pPr>
        <w:spacing w:after="0" w:before="0"/>
      </w:pPr>
      <w:r>
        <w:rPr>
          <w:rFonts w:ascii="Arial" w:cs="Arial" w:eastAsia="Arial" w:hAnsi="Arial"/>
          <w:sz w:val="22"/>
          <w:szCs w:val="22"/>
        </w:rPr>
        <w:t xml:space="preserve"/>
      </w:r>
    </w:p>
    <w:p>
      <w:pPr>
        <w:pStyle w:val="Heading1"/>
        <w:spacing w:after="180" w:before="300"/>
      </w:pPr>
      <w:r>
        <w:rPr>
          <w:rFonts w:ascii="Arial" w:cs="Arial" w:eastAsia="Arial" w:hAnsi="Arial"/>
          <w:b/>
          <w:bCs/>
          <w:color w:val="1A237E"/>
          <w:sz w:val="32"/>
          <w:szCs w:val="32"/>
        </w:rPr>
        <w:t xml:space="preserve">9. Analisi dei Rischi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4160"/>
      </w:tblGrid>
      <w:tr>
        <w:trPr>
          <w:tblHeader/>
        </w:trPr>
        <w:tc>
          <w:tcPr>
            <w:tcW w:type="dxa" w:w="3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Rischio</w:t>
            </w:r>
          </w:p>
        </w:tc>
        <w:tc>
          <w:tcPr>
            <w:tcW w:type="dxa" w:w="12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Probabilità</w:t>
            </w:r>
          </w:p>
        </w:tc>
        <w:tc>
          <w:tcPr>
            <w:tcW w:type="dxa" w:w="1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Impatto</w:t>
            </w:r>
          </w:p>
        </w:tc>
        <w:tc>
          <w:tcPr>
            <w:tcW w:type="dxa" w:w="41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Mitigazione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Vendor lock-in su piattaforma TMC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Alto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Open standard obbligatori nel capitolato. Separazione contrattuale hardware/software.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Cybersecurity: attacco al sistema semaforico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Bassa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Critico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Zero trust, mTLS, audit log. Failsafe fisico ATC indipendente da TMC.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Falso positivo Pedestrian Extension (rallentamento eccessivo)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Medio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Dual sensor (PIR + CV). Limite estensione massima. Monitoraggio KPI su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Interferenza LoRaWAN in ambiente urbano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Media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Basso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Adaptive Data Rate, ridondanza gateway. Sensori critici su MQTT via fibra.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Resistenza culturale dei cittadini (percezione sorveglianza)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Alta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Medio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Comunicazione proattiva: nessuna immagine raccolta, solo conteggi anonimi. Certificazione GDPR.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Mancata integrazione ARPAT (API non disponibile)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Bassa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Basso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Sensori IoT locali come fonte primaria alternativa. ARPAT come fonte secondaria di validazione.</w:t>
            </w:r>
          </w:p>
        </w:tc>
      </w:tr>
    </w:tbl>
    <w:p>
      <w:r>
        <w:br w:type="page"/>
      </w:r>
    </w:p>
    <w:p>
      <w:pPr>
        <w:pStyle w:val="Heading1"/>
        <w:spacing w:after="180" w:before="300"/>
      </w:pPr>
      <w:r>
        <w:rPr>
          <w:rFonts w:ascii="Arial" w:cs="Arial" w:eastAsia="Arial" w:hAnsi="Arial"/>
          <w:b/>
          <w:bCs/>
          <w:color w:val="1A237E"/>
          <w:sz w:val="32"/>
          <w:szCs w:val="32"/>
        </w:rPr>
        <w:t xml:space="preserve">10.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Termine</w:t>
            </w:r>
          </w:p>
        </w:tc>
        <w:tc>
          <w:tcPr>
            <w:tcW w:type="dxa" w:w="7360"/>
            <w:tcBorders>
              <w:top w:val="single" w:color="CCCCCC" w:sz="1"/>
              <w:left w:val="single" w:color="CCCCCC" w:sz="1"/>
              <w:bottom w:val="single" w:color="CCCCCC" w:sz="1"/>
              <w:right w:val="single" w:color="CCCCCC" w:sz="1"/>
            </w:tcBorders>
            <w:shd w:fill="DDEEFF" w:val="clear"/>
            <w:tcMar>
              <w:top w:type="dxa" w:w="80"/>
              <w:left w:type="dxa" w:w="160"/>
              <w:bottom w:type="dxa" w:w="80"/>
              <w:right w:type="dxa" w:w="160"/>
            </w:tcMar>
          </w:tcPr>
          <w:p>
            <w:r>
              <w:rPr>
                <w:rFonts w:ascii="Arial" w:cs="Arial" w:eastAsia="Arial" w:hAnsi="Arial"/>
                <w:b/>
                <w:bCs/>
                <w:color w:val="212121"/>
                <w:sz w:val="20"/>
                <w:szCs w:val="20"/>
              </w:rPr>
              <w:t xml:space="preserve">Definizione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ATC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Adaptive Traffic Controller — controller semaforico intelligente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CAP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Centro Autobus Prato — azienda del trasporto pubblico locale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CEP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Complex Event Processing — rilevamento di pattern su stream di eventi in tempo reale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DATEX II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Standard europeo per lo scambio di informazioni sul traffico stradale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Dilemma Zone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Zona in cui un conducente non può né fermarsi né passare in sicurezza al cambio di fase semaforica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GTFS-RT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General Transit Feed Specification Real Time — standard per dati TPL in tempo reale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LAM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Linea Alta Mobilità — linee bus rapide di Prato (LAM 1, LAM 2, ecc.)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Leading Pedestrian/Cyclist Interval — anticipo del verde per pedoni/ciclisti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LoRaWAN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Long Range Wide Area Network — protocollo IoT a lungo raggio e basso consumo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MQTT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Message Queuing Telemetry Transport — protocollo di messaggistica IoT leggero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NTCIP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National Transportation Communications for ITS Protocol — standard per ATC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PMV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Pannello a Messaggio Variabile — segnaletica elettronica variabile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PPO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Proximal Policy Optimization — algoritmo di Reinforcement Learning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TMC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Traffic Management Center — centro di controllo del traffico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TPL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12121"/>
                <w:sz w:val="20"/>
                <w:szCs w:val="20"/>
              </w:rPr>
              <w:t xml:space="preserve">Trasporto Pubblico Locale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8640"/>
      </w:tabs>
    </w:pPr>
    <w:r>
      <w:rPr>
        <w:rFonts w:ascii="Arial" w:cs="Arial" w:eastAsia="Arial" w:hAnsi="Arial"/>
        <w:color w:val="aaaaaa"/>
        <w:sz w:val="18"/>
        <w:szCs w:val="18"/>
      </w:rPr>
      <w:t xml:space="preserve">#PratoMiMuovo  |  Mobilità intelligente per Prato</w:t>
    </w:r>
    <w:r>
      <w:rPr>
        <w:rFonts w:ascii="Arial" w:cs="Arial" w:eastAsia="Arial" w:hAnsi="Arial"/>
        <w:color w:val="888888"/>
        <w:sz w:val="18"/>
        <w:szCs w:val="18"/>
      </w:rPr>
      <w:t xml:space="preserve">	</w:t>
      <w:t xml:space="preserve">Pag.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8640"/>
      </w:tabs>
    </w:pPr>
    <w:r>
      <w:rPr>
        <w:rFonts w:ascii="Arial" w:cs="Arial" w:eastAsia="Arial" w:hAnsi="Arial"/>
        <w:color w:val="888888"/>
        <w:sz w:val="18"/>
        <w:szCs w:val="18"/>
      </w:rPr>
      <w:t xml:space="preserve">PratoMiMuovo — Specifica Tecnica Architetturale e Funzionale</w:t>
    </w:r>
    <w:r>
      <w:rPr>
        <w:rFonts w:ascii="Arial" w:cs="Arial" w:eastAsia="Arial" w:hAnsi="Arial"/>
        <w:sz w:val="18"/>
        <w:szCs w:val="18"/>
      </w:rPr>
      <w:t xml:space="preserve">	</w:t>
    </w:r>
    <w:r>
      <w:rPr>
        <w:rFonts w:ascii="Arial" w:cs="Arial" w:eastAsia="Arial" w:hAnsi="Arial"/>
        <w:color w:val="888888"/>
        <w:sz w:val="18"/>
        <w:szCs w:val="18"/>
      </w:rPr>
      <w:t xml:space="preserve">v1.0  |  Aprile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8c8e85129b8114bf32503c5ef7d3978f3b022d.png"/><Relationship Id="rId10" Type="http://schemas.openxmlformats.org/officeDocument/2006/relationships/image" Target="media/611342e2d37a549e35baaeb91ffa07411a8f78c1.png"/><Relationship Id="rId11" Type="http://schemas.openxmlformats.org/officeDocument/2006/relationships/image" Target="media/95bccb2a85e5a2f0d673128f6ac1d9fd4b77f48d.png"/><Relationship Id="rId12" Type="http://schemas.openxmlformats.org/officeDocument/2006/relationships/image" Target="media/27399c44569e3f8caf1238b6c54ec502e736291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2026-04-10T18:48:47.063Z</dcterms:created>
  <dcterms:modified xsi:type="dcterms:W3CDTF">2026-04-10T18:48:47.063Z</dcterms:modified>
</cp:coreProperties>
</file>

<file path=docProps/custom.xml><?xml version="1.0" encoding="utf-8"?>
<Properties xmlns="http://schemas.openxmlformats.org/officeDocument/2006/custom-properties" xmlns:vt="http://schemas.openxmlformats.org/officeDocument/2006/docPropsVTypes"/>
</file>