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00400" cy="3898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52"/>
        </w:rPr>
        <w:t>IPC-921 Ultra Core</w:t>
        <w:br/>
        <w:t>Teklif Talebi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color w:val="646464"/>
          <w:sz w:val="28"/>
        </w:rPr>
        <w:t>Green Diamond Enerji A.S. · Enerji Depolama Sistemi — Test Altyapisi Teklif Talebi</w:t>
      </w:r>
    </w:p>
    <w:p>
      <w:pPr>
        <w:pStyle w:val="Normal"/>
        <w:spacing w:before="800" w:after="120"/>
        <w:jc w:val="center"/>
        <w:rPr/>
      </w:pPr>
      <w:r>
        <w:rPr>
          <w:color w:val="828282"/>
          <w:sz w:val="22"/>
        </w:rPr>
        <w:t>Eylül 2026  ·  Versiyon 1.0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40"/>
        </w:rPr>
        <w:t>ICINDEKILER</w:t>
      </w:r>
    </w:p>
    <w:p>
      <w:pPr>
        <w:pStyle w:val="Normal"/>
        <w:spacing w:before="0" w:after="8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76" w:before="0" w:after="120"/>
            <w:jc w:val="left"/>
            <w:rPr>
              <w:rFonts w:ascii="Times New Roman" w:hAnsi="Times New Roman"/>
              <w:sz w:val="24"/>
            </w:rPr>
          </w:pPr>
          <w:r>
            <w:fldChar w:fldCharType="begin"/>
          </w:r>
          <w:r>
            <w:rPr>
              <w:sz w:val="24"/>
            </w:rPr>
            <w:instrText xml:space="preserve"> TOC \z \o "1-3" \u \h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</w:r>
        </w:p>
        <w:p>
          <w:pPr>
            <w:pStyle w:val="Normal"/>
            <w:spacing w:lineRule="auto" w:line="336" w:before="160" w:after="40"/>
            <w:rPr/>
          </w:pPr>
          <w:hyperlink w:anchor="_Toc0">
            <w:r>
              <w:rPr>
                <w:webHidden/>
                <w:rStyle w:val="IndexLink"/>
                <w:b/>
                <w:vanish w:val="false"/>
                <w:sz w:val="24"/>
              </w:rPr>
              <w:t>1. Talep Özeti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1">
            <w:r>
              <w:rPr>
                <w:webHidden/>
                <w:rStyle w:val="IndexLink"/>
                <w:b/>
                <w:vanish w:val="false"/>
                <w:sz w:val="24"/>
              </w:rPr>
              <w:t>2. Kullanım Senaryosu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2">
            <w:r>
              <w:rPr>
                <w:webHidden/>
                <w:rStyle w:val="IndexLink"/>
                <w:b/>
                <w:vanish w:val="false"/>
                <w:sz w:val="24"/>
              </w:rPr>
              <w:t>3. Donanım Gereksinimleri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3">
            <w:r>
              <w:rPr>
                <w:webHidden/>
                <w:rStyle w:val="IndexLink"/>
                <w:b/>
                <w:vanish w:val="false"/>
                <w:sz w:val="24"/>
              </w:rPr>
              <w:t>4. İşletim Sistemi Gereksinimi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4">
            <w:r>
              <w:rPr>
                <w:webHidden/>
                <w:rStyle w:val="IndexLink"/>
                <w:b/>
                <w:vanish w:val="false"/>
                <w:sz w:val="24"/>
              </w:rPr>
              <w:t>5. Veri Yoğunluğu ve İş Yükü Profili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5">
            <w:r>
              <w:rPr>
                <w:webHidden/>
                <w:rStyle w:val="IndexLink"/>
                <w:b/>
                <w:vanish w:val="false"/>
                <w:sz w:val="24"/>
              </w:rPr>
              <w:t>6. Ağ Gereksinimleri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6">
            <w:r>
              <w:rPr>
                <w:webHidden/>
                <w:rStyle w:val="IndexLink"/>
                <w:b/>
                <w:vanish w:val="false"/>
                <w:sz w:val="24"/>
              </w:rPr>
              <w:t>7. Çalışma Ortamı ve Sıcaklık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7">
            <w:r>
              <w:rPr>
                <w:webHidden/>
                <w:rStyle w:val="IndexLink"/>
                <w:b/>
                <w:vanish w:val="false"/>
                <w:sz w:val="24"/>
              </w:rPr>
              <w:t>8. Garanti ve Satış Sonrası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8">
            <w:r>
              <w:rPr>
                <w:webHidden/>
                <w:rStyle w:val="IndexLink"/>
                <w:b/>
                <w:vanish w:val="false"/>
                <w:sz w:val="24"/>
              </w:rPr>
              <w:t>9. Teklifte İstenen Bilgiler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9">
            <w:r>
              <w:rPr>
                <w:webHidden/>
                <w:rStyle w:val="IndexLink"/>
                <w:b/>
                <w:vanish w:val="false"/>
                <w:sz w:val="24"/>
              </w:rPr>
              <w:t>10. İletişim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sectPr>
          <w:type w:val="nextPage"/>
          <w:pgSz w:w="12240" w:h="15840"/>
          <w:pgMar w:left="1417" w:right="1417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widowControl/>
        <w:bidi w:val="0"/>
        <w:spacing w:lineRule="auto" w:line="276" w:before="0" w:after="120"/>
        <w:jc w:val="left"/>
        <w:rPr>
          <w:rFonts w:ascii="Times New Roman" w:hAnsi="Times New Roman"/>
          <w:sz w:val="24"/>
        </w:rPr>
      </w:pPr>
      <w:r>
        <w:rPr>
          <w:sz w:val="24"/>
        </w:rPr>
      </w:r>
      <w:r>
        <w:br w:type="page"/>
      </w:r>
    </w:p>
    <w:p>
      <w:pPr>
        <w:pStyle w:val="Heading1"/>
        <w:spacing w:before="0" w:after="160"/>
        <w:rPr/>
      </w:pPr>
      <w:r>
        <w:rPr/>
        <w:t>Artech IPC-921 Ultra Core Serisi — Teklif Talebi</w:t>
      </w:r>
    </w:p>
    <w:p>
      <w:pPr>
        <w:pStyle w:val="Heading2"/>
        <w:rPr/>
      </w:pPr>
      <w:bookmarkStart w:id="0" w:name="_Toc0"/>
      <w:r>
        <w:rPr/>
        <w:t>1. Talep Özeti</w:t>
      </w:r>
      <w:bookmarkEnd w:id="0"/>
    </w:p>
    <w:p>
      <w:pPr>
        <w:pStyle w:val="Normal"/>
        <w:rPr/>
      </w:pPr>
      <w:r>
        <w:rPr>
          <w:sz w:val="24"/>
        </w:rPr>
        <w:t xml:space="preserve">Green Diamond Enerji A.Ş. olarak, enerji depolama sistemleri (EDS) konteynerlerimizde 7/24 kesintisiz çalışacak endüstriyel izleme ve kontrol uygulamamızın </w:t>
      </w:r>
      <w:r>
        <w:rPr>
          <w:b/>
          <w:sz w:val="24"/>
        </w:rPr>
        <w:t>cihaz ve yazılım testleri (pilot/test fazı)</w:t>
      </w:r>
      <w:r>
        <w:rPr>
          <w:sz w:val="24"/>
        </w:rPr>
        <w:t xml:space="preserve"> için Artech </w:t>
      </w:r>
      <w:r>
        <w:rPr>
          <w:b/>
          <w:sz w:val="24"/>
        </w:rPr>
        <w:t>IPC-921 Ultra Core Serisi</w:t>
      </w:r>
      <w:r>
        <w:rPr>
          <w:sz w:val="24"/>
        </w:rPr>
        <w:t xml:space="preserve"> (21.5" IP65 endüstriyel dokunmatik panel PC) için teknik ihtiyaç bildirimimizi ve teklif talebimizi iletiriz.</w:t>
      </w:r>
    </w:p>
    <w:p>
      <w:pPr>
        <w:pStyle w:val="Normal"/>
        <w:rPr/>
      </w:pPr>
      <w:r>
        <w:rPr>
          <w:sz w:val="24"/>
        </w:rPr>
        <w:t xml:space="preserve">İhtiyaç bildiriminde yer alan iş yükü ve veri profili, teklifin doğru konfigürasyonla hazırlanabilmesi için gerekli </w:t>
      </w:r>
      <w:r>
        <w:rPr>
          <w:b/>
          <w:sz w:val="24"/>
        </w:rPr>
        <w:t>minimum teknik bilgiyle</w:t>
      </w:r>
      <w:r>
        <w:rPr>
          <w:sz w:val="24"/>
        </w:rPr>
        <w:t xml:space="preserve"> sınırlı tutulmuştur.</w:t>
      </w:r>
    </w:p>
    <w:p>
      <w:pPr>
        <w:pStyle w:val="Heading2"/>
        <w:rPr/>
      </w:pPr>
      <w:bookmarkStart w:id="1" w:name="_Toc1"/>
      <w:r>
        <w:rPr/>
        <w:t>2. Kullanım Senaryosu</w:t>
      </w:r>
      <w:bookmarkEnd w:id="1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Ortam:</w:t>
      </w:r>
      <w:r>
        <w:rPr>
          <w:sz w:val="24"/>
        </w:rPr>
        <w:t xml:space="preserve"> Enerji depolama konteyneri içi, pano/duvar montajı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Çalışma rejimi:</w:t>
      </w:r>
      <w:r>
        <w:rPr>
          <w:sz w:val="24"/>
        </w:rPr>
        <w:t xml:space="preserve"> 7/24 kesintisiz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Faz:</w:t>
      </w:r>
      <w:r>
        <w:rPr>
          <w:sz w:val="24"/>
        </w:rPr>
        <w:t xml:space="preserve"> Cihaz donanımının saha koşullarındaki davranışı ve üzerinde çalışacak yazılımımızın testi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Ağ modeli:</w:t>
      </w:r>
      <w:r>
        <w:rPr>
          <w:sz w:val="24"/>
        </w:rPr>
        <w:t xml:space="preserve"> Tek yönlü (outbound) bağlantı; cihaza dışarıdan gelen (inbound) bağlantı gereksinimi yoktur</w:t>
      </w:r>
    </w:p>
    <w:p>
      <w:pPr>
        <w:pStyle w:val="Heading2"/>
        <w:rPr/>
      </w:pPr>
      <w:bookmarkStart w:id="2" w:name="_Toc2"/>
      <w:r>
        <w:rPr/>
        <w:t>3. Donanım Gereksinimleri</w:t>
      </w:r>
      <w:bookmarkEnd w:id="2"/>
    </w:p>
    <w:tbl>
      <w:tblPr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Gereksinim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İşlemci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iCore 12. nesil (seri standardı)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Bellek (RAM)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**Minimum 8 GB, ideal 16 GB** DDR4; ileride 32 GB'a yükseltilebilirlik tercih sebebidir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Depolama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**1 TB SSD** (M.2 veya 2.5") — tip (NVMe/SATA), marka/model ve TBW değeri teklifte belirtilmelidir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Ethernet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2× 10/100/1000 BaseT (seri standardı)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Seri portlar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3× RS232/RS422/RS485 (seri standardı)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Besleme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12–24 VDC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Soğutma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Fansız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Koruma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IP65 ön panel, paslanmaz çelik gövde</w:t>
            </w:r>
          </w:p>
        </w:tc>
      </w:tr>
      <w:tr>
        <w:trPr/>
        <w:tc>
          <w:tcPr>
            <w:tcW w:w="470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Genişleme</w:t>
            </w:r>
          </w:p>
        </w:tc>
        <w:tc>
          <w:tcPr>
            <w:tcW w:w="4702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Mini PCIe (LTE / ek ağ kartı opsiyonlarının değerlendirilmesi için)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3" w:name="_Toc3"/>
      <w:r>
        <w:rPr/>
        <w:t>4. İşletim Sistemi Gereksinimi</w:t>
      </w:r>
      <w:bookmarkEnd w:id="3"/>
    </w:p>
    <w:p>
      <w:pPr>
        <w:pStyle w:val="Normal"/>
        <w:rPr/>
      </w:pPr>
      <w:r>
        <w:rPr>
          <w:sz w:val="24"/>
        </w:rPr>
        <w:t xml:space="preserve">Sistem, </w:t>
      </w:r>
      <w:r>
        <w:rPr>
          <w:b/>
          <w:sz w:val="24"/>
        </w:rPr>
        <w:t>GNU/Linux tabanlı iki dağıtım</w:t>
      </w:r>
      <w:r>
        <w:rPr>
          <w:sz w:val="24"/>
        </w:rPr>
        <w:t xml:space="preserve"> üzerinde çalışacaktır: </w:t>
      </w:r>
      <w:r>
        <w:rPr>
          <w:b/>
          <w:sz w:val="24"/>
        </w:rPr>
        <w:t>Debian</w:t>
      </w:r>
      <w:r>
        <w:rPr>
          <w:sz w:val="24"/>
        </w:rPr>
        <w:t xml:space="preserve"> ve </w:t>
      </w:r>
      <w:r>
        <w:rPr>
          <w:b/>
          <w:sz w:val="24"/>
        </w:rPr>
        <w:t>Pardus</w:t>
      </w:r>
      <w:r>
        <w:rPr>
          <w:sz w:val="24"/>
        </w:rPr>
        <w:t>.</w:t>
      </w:r>
    </w:p>
    <w:p>
      <w:pPr>
        <w:pStyle w:val="Normal"/>
        <w:rPr/>
      </w:pPr>
      <w:r>
        <w:rPr>
          <w:sz w:val="24"/>
        </w:rPr>
        <w:t>Tedarikçiden beklenenler: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Dokunmatik panel (projected capacitive), grafik, ses, LAN ve watchdog birimlerinin her iki dağıtımda sürücü desteği ve uyumluluk taahhüdü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BIOS/firmware tarafında Linux kurulum ve çalışmayı engelleyen bir kısıt bulunmaması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Doğrulanmış dağıtım/çekirdek sürümlerinin teklifle birlikte bildirilmesi</w:t>
      </w:r>
    </w:p>
    <w:p>
      <w:pPr>
        <w:pStyle w:val="Heading2"/>
        <w:rPr/>
      </w:pPr>
      <w:bookmarkStart w:id="4" w:name="_Toc4"/>
      <w:r>
        <w:rPr/>
        <w:t>5. Veri Yoğunluğu ve İş Yükü Profili</w:t>
      </w:r>
      <w:bookmarkEnd w:id="4"/>
    </w:p>
    <w:p>
      <w:pPr>
        <w:pStyle w:val="Normal"/>
        <w:rPr/>
      </w:pPr>
      <w:r>
        <w:rPr>
          <w:sz w:val="24"/>
        </w:rPr>
        <w:t>Cihaz, sahada ölçüm yapan cihazlardan sürekli veri toplayan bir izleme/kontrol altyapısını çalıştıracaktır. Boyutlandırmaya esas iş yükü: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~2.700 veri noktası/saniye</w:t>
      </w:r>
      <w:r>
        <w:rPr>
          <w:sz w:val="24"/>
        </w:rPr>
        <w:t xml:space="preserve"> sürekli veri alımı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Örnekleme aralığı: </w:t>
      </w:r>
      <w:r>
        <w:rPr>
          <w:b/>
          <w:sz w:val="24"/>
        </w:rPr>
        <w:t>1–2 saniye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7/24 kesintisiz</w:t>
      </w:r>
      <w:r>
        <w:rPr>
          <w:sz w:val="24"/>
        </w:rPr>
        <w:t xml:space="preserve"> yerel zaman serisi yazımı (depolama üzerinde sürekli yazma yükü)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Yıllık veri hacmi: </w:t>
      </w:r>
      <w:r>
        <w:rPr>
          <w:b/>
          <w:sz w:val="24"/>
        </w:rPr>
        <w:t>~1 TB</w:t>
      </w:r>
      <w:r>
        <w:rPr>
          <w:sz w:val="24"/>
        </w:rPr>
        <w:t xml:space="preserve"> (sıkıştırma ve 90 günlük ham veri saklama politikası ile)</w:t>
      </w:r>
    </w:p>
    <w:p>
      <w:pPr>
        <w:pStyle w:val="Normal"/>
        <w:rPr/>
      </w:pPr>
      <w:r>
        <w:rPr>
          <w:sz w:val="24"/>
        </w:rPr>
        <w:t xml:space="preserve">Bu profil, </w:t>
      </w:r>
      <w:r>
        <w:rPr>
          <w:b/>
          <w:sz w:val="24"/>
        </w:rPr>
        <w:t>1 TB SSD talebinin gerekçesidir</w:t>
      </w:r>
      <w:r>
        <w:rPr>
          <w:sz w:val="24"/>
        </w:rPr>
        <w:t>; sürekli yazma yükü nedeniyle SSD dayanıklılık (TBW) değeri kritik önemdedir.</w:t>
      </w:r>
    </w:p>
    <w:p>
      <w:pPr>
        <w:pStyle w:val="Heading2"/>
        <w:rPr/>
      </w:pPr>
      <w:bookmarkStart w:id="5" w:name="_Toc5"/>
      <w:r>
        <w:rPr/>
        <w:t>6. Ağ Gereksinimleri</w:t>
      </w:r>
      <w:bookmarkEnd w:id="5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Mimari gereği bağlantı </w:t>
      </w:r>
      <w:r>
        <w:rPr>
          <w:b/>
          <w:sz w:val="24"/>
        </w:rPr>
        <w:t>tek yönlü (outbound)</w:t>
      </w:r>
      <w:r>
        <w:rPr>
          <w:sz w:val="24"/>
        </w:rPr>
        <w:t xml:space="preserve"> kurulur; cihaza gelen (inbound) port/bağlantı gereksinimi yoktur.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Bu nedenle </w:t>
      </w:r>
      <w:r>
        <w:rPr>
          <w:b/>
          <w:sz w:val="24"/>
        </w:rPr>
        <w:t>ek bir ağ kartı konfigürasyonu gerekmemektedir</w:t>
      </w:r>
      <w:r>
        <w:rPr>
          <w:sz w:val="24"/>
        </w:rPr>
        <w:t>; seri üzerindeki 2× GbE port yeterlidir: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Port 1:</w:t>
      </w:r>
      <w:r>
        <w:rPr>
          <w:sz w:val="24"/>
        </w:rPr>
        <w:t xml:space="preserve"> Saha cihaz ağı (endüstriyel cihaz/sensör LAN'ı)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Port 2:</w:t>
      </w:r>
      <w:r>
        <w:rPr>
          <w:sz w:val="24"/>
        </w:rPr>
        <w:t xml:space="preserve"> Uplink (WAN — saha ağı / 4G-LTE modem çıkışı)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Tedarikçiden öneri istenen konular: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İki Ethernet portunun ağ seviyesinde izolasyonu için mevcut BIOS/sürücü imkânları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Mini PCIe üzerinden LTE modem / ek ağ arayüzü seçenekleri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Linux altında çift port çalışmasına dair bilinen kısıtlar (varsa)</w:t>
      </w:r>
    </w:p>
    <w:p>
      <w:pPr>
        <w:pStyle w:val="Heading2"/>
        <w:rPr/>
      </w:pPr>
      <w:bookmarkStart w:id="6" w:name="_Toc6"/>
      <w:r>
        <w:rPr/>
        <w:t>7. Çalışma Ortamı ve Sıcaklık</w:t>
      </w:r>
      <w:bookmarkEnd w:id="6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Ürünün mevcut </w:t>
      </w:r>
      <w:r>
        <w:rPr>
          <w:b/>
          <w:sz w:val="24"/>
        </w:rPr>
        <w:t>0–60 °C</w:t>
      </w:r>
      <w:r>
        <w:rPr>
          <w:sz w:val="24"/>
        </w:rPr>
        <w:t xml:space="preserve"> çalışma aralığı konteyner içi genel kullanım için uygundur.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Ancak saha koşullarında ortam sıcaklığı </w:t>
      </w:r>
      <w:r>
        <w:rPr>
          <w:b/>
          <w:sz w:val="24"/>
        </w:rPr>
        <w:t>kış aylarında 0 °C altına inebilmektedir</w:t>
      </w:r>
      <w:r>
        <w:rPr>
          <w:sz w:val="24"/>
        </w:rPr>
        <w:t>; bu nedenle eksi sıcaklıkta çalışma senaryosu da değerlendirilmektedir.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Tedarikçi, cihazların eksi sıcaklıklarda çalışabilmesi için AR-GE yapacağını tarafımıza iletmiştir. Bu kapsamda talep edilen: </w:t>
      </w:r>
      <w:r>
        <w:rPr>
          <w:b/>
          <w:sz w:val="24"/>
        </w:rPr>
        <w:t>hedef çalışma aralığı</w:t>
      </w:r>
      <w:r>
        <w:rPr>
          <w:sz w:val="24"/>
        </w:rPr>
        <w:t xml:space="preserve"> (ör. −20 °C), </w:t>
      </w:r>
      <w:r>
        <w:rPr>
          <w:b/>
          <w:sz w:val="24"/>
        </w:rPr>
        <w:t>tamamlanma takvimi</w:t>
      </w:r>
      <w:r>
        <w:rPr>
          <w:sz w:val="24"/>
        </w:rPr>
        <w:t xml:space="preserve"> ve AR-GE sonucunun mevcut/satın alınacak cihazlara uygulanabilirliği.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İş birliği modeli:</w:t>
      </w:r>
      <w:r>
        <w:rPr>
          <w:sz w:val="24"/>
        </w:rPr>
        <w:t xml:space="preserve"> Cihaz tarafımızca </w:t>
      </w:r>
      <w:r>
        <w:rPr>
          <w:b/>
          <w:sz w:val="24"/>
        </w:rPr>
        <w:t>satın alınacaktır</w:t>
      </w:r>
      <w:r>
        <w:rPr>
          <w:sz w:val="24"/>
        </w:rPr>
        <w:t xml:space="preserve">. AR-GE süreci devam ederken ve test aşamasında, tarafımız konteyner içine </w:t>
      </w:r>
      <w:r>
        <w:rPr>
          <w:b/>
          <w:sz w:val="24"/>
        </w:rPr>
        <w:t>ısıtıcı ekipman</w:t>
      </w:r>
      <w:r>
        <w:rPr>
          <w:sz w:val="24"/>
        </w:rPr>
        <w:t xml:space="preserve"> yerleştirerek cihazı kendi cihaz ve yazılım testlerinde kullanmaya devam edecektir. AR-GE tamamlandığında ısıtıcısız (doğrudan eksi sıcaklıkta) çalışma hedeflenmektedir.</w:t>
      </w:r>
    </w:p>
    <w:p>
      <w:pPr>
        <w:pStyle w:val="Heading2"/>
        <w:rPr/>
      </w:pPr>
      <w:bookmarkStart w:id="7" w:name="_Toc7"/>
      <w:r>
        <w:rPr/>
        <w:t>8. Garanti ve Satış Sonrası</w:t>
      </w:r>
      <w:bookmarkEnd w:id="7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Tedarikçi teyidi:</w:t>
      </w:r>
      <w:r>
        <w:rPr>
          <w:sz w:val="24"/>
        </w:rPr>
        <w:t xml:space="preserve"> 5 yıl garanti.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Yedek parça temin garantisinin kapsamı ve süresinin teklifte açıkça belirtilmesi istenir.</w:t>
      </w:r>
    </w:p>
    <w:p>
      <w:pPr>
        <w:pStyle w:val="Heading2"/>
        <w:rPr/>
      </w:pPr>
      <w:bookmarkStart w:id="8" w:name="_Toc8"/>
      <w:r>
        <w:rPr/>
        <w:t>9. Teklifte İstenen Bilgiler</w:t>
      </w:r>
      <w:bookmarkEnd w:id="8"/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Birim fiyat ve olası adet aralıkları için fiyat kademeleri</w:t>
      </w:r>
    </w:p>
    <w:p>
      <w:pPr>
        <w:pStyle w:val="ListNumber"/>
        <w:numPr>
          <w:ilvl w:val="0"/>
          <w:numId w:val="4"/>
        </w:numPr>
        <w:rPr/>
      </w:pPr>
      <w:r>
        <w:rPr>
          <w:b/>
          <w:sz w:val="24"/>
        </w:rPr>
        <w:t>Minimum temin süresi</w:t>
      </w:r>
      <w:r>
        <w:rPr>
          <w:sz w:val="24"/>
        </w:rPr>
        <w:t xml:space="preserve"> (siparişten teslime kadar)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Yedek parça temin garantisi kapsamı ve süresi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Eksi sıcaklık AR-GE: hedef çalışma aralığı, takvim ve AR-GE sonrası uygulanabilirlik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Linux (Debian/Pardus) sürücü desteği taahhüdü ve doğrulanmış sürümler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SSD: tip (NVMe/SATA), marka/model, TBW dayanıklılık değeri; ikinci disk yuvası imkânı (işletim sistemi / veri ayrımı için)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RAM: 16 GB konfigürasyon detayı (2×8 GB / 1×16 GB) ve 32 GB'a büyüme yolu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Mini PCIe üzerinden LTE modem / ek ağ arayüzü opsiyonları ve fiyatları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CE ve varsa diğer sertifikalar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Opsiyonel WLAN (802.11 b/g/n) durumu ve fiyatı</w:t>
      </w:r>
    </w:p>
    <w:p>
      <w:pPr>
        <w:pStyle w:val="Heading2"/>
        <w:rPr/>
      </w:pPr>
      <w:bookmarkStart w:id="9" w:name="_Toc9"/>
      <w:r>
        <w:rPr/>
        <w:t>10. İletişim</w:t>
      </w:r>
      <w:bookmarkEnd w:id="9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Firma:</w:t>
      </w:r>
      <w:r>
        <w:rPr>
          <w:sz w:val="24"/>
        </w:rPr>
        <w:t xml:space="preserve"> Green Diamond Enerji A.Ş.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Web:</w:t>
      </w:r>
      <w:r>
        <w:rPr>
          <w:sz w:val="24"/>
        </w:rPr>
        <w:t xml:space="preserve"> www.gdenerji.com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E-posta:</w:t>
      </w:r>
      <w:r>
        <w:rPr>
          <w:sz w:val="24"/>
        </w:rPr>
        <w:t xml:space="preserve"> info@gdenerji.com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Telefon:</w:t>
      </w:r>
      <w:r>
        <w:rPr>
          <w:sz w:val="24"/>
        </w:rPr>
        <w:t xml:space="preserve"> 0312 241 99 88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  <w:sz w:val="24"/>
        </w:rPr>
        <w:t>Adres:</w:t>
      </w:r>
      <w:r>
        <w:rPr>
          <w:sz w:val="24"/>
        </w:rPr>
        <w:t xml:space="preserve"> Ehlibeyt Mah. Mevlana Blv. Nev201 Kule No: 201 C Blok Kat: 28 Ofis: 123-124, Ankara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>
          <w:sz w:val="24"/>
        </w:rPr>
      </w:pPr>
      <w:r>
        <w:rPr>
          <w:b/>
          <w:bCs/>
          <w:sz w:val="24"/>
        </w:rPr>
        <w:t>Yetkili:</w:t>
      </w:r>
      <w:r>
        <w:rPr>
          <w:sz w:val="24"/>
        </w:rPr>
        <w:t xml:space="preserve"> İlteriş Kutluğ Kağan Yücel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>
          <w:sz w:val="24"/>
        </w:rPr>
      </w:pPr>
      <w:r>
        <w:rPr>
          <w:b/>
          <w:bCs/>
          <w:sz w:val="24"/>
        </w:rPr>
        <w:t xml:space="preserve">Telefon: </w:t>
      </w:r>
      <w:r>
        <w:rPr>
          <w:sz w:val="24"/>
        </w:rPr>
        <w:t>0533 461 6986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17" w:right="1417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5</Pages>
  <Words>776</Words>
  <Characters>4658</Characters>
  <CharactersWithSpaces>5302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2026-09-11T09:56:00Z</cp:lastPrinted>
  <dcterms:modified xsi:type="dcterms:W3CDTF">2026-09-11T09:59:58Z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