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200400" cy="3898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52"/>
        </w:rPr>
        <w:t>AWS Hesap Açılışı</w:t>
        <w:br/>
        <w:t>Kart Talebi Gerekçe Raporu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Times New Roman" w:hAnsi="Times New Roman"/>
          <w:color w:val="828282"/>
          <w:sz w:val="22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000000"/>
          <w:sz w:val="40"/>
        </w:rPr>
        <w:t>ICINDEKILER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336" w:before="160" w:after="40"/>
        <w:ind w:left="0"/>
        <w:rPr/>
      </w:pPr>
      <w:hyperlink w:anchor="_Toc0">
        <w:r>
          <w:rPr>
            <w:webHidden/>
          </w:rPr>
          <w:fldChar w:fldCharType="begin"/>
        </w:r>
        <w:r>
          <w:rPr>
            <w:webHidden/>
          </w:rPr>
          <w:instrText xml:space="preserve">PAGEREF _Toc0 \h</w:instrText>
        </w:r>
        <w:r>
          <w:rPr>
            <w:webHidden/>
          </w:rPr>
          <w:fldChar w:fldCharType="separate"/>
        </w:r>
        <w:r>
          <w:rPr>
            <w:rStyle w:val="Style"/>
            <w:b/>
            <w:sz w:val="24"/>
          </w:rPr>
          <w:t>1. Özet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160" w:after="40"/>
        <w:ind w:left="0"/>
        <w:rPr/>
      </w:pPr>
      <w:hyperlink w:anchor="_Toc1">
        <w:r>
          <w:rPr>
            <w:webHidden/>
          </w:rPr>
          <w:fldChar w:fldCharType="begin"/>
        </w:r>
        <w:r>
          <w:rPr>
            <w:webHidden/>
          </w:rPr>
          <w:instrText xml:space="preserve">PAGEREF _Toc1 \h</w:instrText>
        </w:r>
        <w:r>
          <w:rPr>
            <w:webHidden/>
          </w:rPr>
          <w:fldChar w:fldCharType="separate"/>
        </w:r>
        <w:r>
          <w:rPr>
            <w:rStyle w:val="Style"/>
            <w:b/>
            <w:sz w:val="24"/>
          </w:rPr>
          <w:t>2. AWS Neden Kredi Kartı İster?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2">
        <w:r>
          <w:rPr>
            <w:webHidden/>
          </w:rPr>
          <w:fldChar w:fldCharType="begin"/>
        </w:r>
        <w:r>
          <w:rPr>
            <w:webHidden/>
          </w:rPr>
          <w:instrText xml:space="preserve">PAGEREF _Toc2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2.1 Fatura Modeli: Kullandıkça Öde (Pay-as-you-go)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3">
        <w:r>
          <w:rPr>
            <w:webHidden/>
          </w:rPr>
          <w:fldChar w:fldCharType="begin"/>
        </w:r>
        <w:r>
          <w:rPr>
            <w:webHidden/>
          </w:rPr>
          <w:instrText xml:space="preserve">PAGEREF _Toc3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2.2 Açılışta Kart Kaydı Zorunludur (İstisna Yoktur)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4">
        <w:r>
          <w:rPr>
            <w:webHidden/>
          </w:rPr>
          <w:fldChar w:fldCharType="begin"/>
        </w:r>
        <w:r>
          <w:rPr>
            <w:webHidden/>
          </w:rPr>
          <w:instrText xml:space="preserve">PAGEREF _Toc4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2.3 "Kurumsal Faturalı Hesap" Alternatifi Bu Ölçekte Mümkün Değildir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160" w:after="40"/>
        <w:ind w:left="0"/>
        <w:rPr/>
      </w:pPr>
      <w:hyperlink w:anchor="_Toc5">
        <w:r>
          <w:rPr>
            <w:webHidden/>
          </w:rPr>
          <w:fldChar w:fldCharType="begin"/>
        </w:r>
        <w:r>
          <w:rPr>
            <w:webHidden/>
          </w:rPr>
          <w:instrText xml:space="preserve">PAGEREF _Toc5 \h</w:instrText>
        </w:r>
        <w:r>
          <w:rPr>
            <w:webHidden/>
          </w:rPr>
          <w:fldChar w:fldCharType="separate"/>
        </w:r>
        <w:r>
          <w:rPr>
            <w:rStyle w:val="Style"/>
            <w:b/>
            <w:sz w:val="24"/>
          </w:rPr>
          <w:t>3. Kart Bilgilerinin Kullanımı ve Güvenlik Çerçevesi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6">
        <w:r>
          <w:rPr>
            <w:webHidden/>
          </w:rPr>
          <w:fldChar w:fldCharType="begin"/>
        </w:r>
        <w:r>
          <w:rPr>
            <w:webHidden/>
          </w:rPr>
          <w:instrText xml:space="preserve">PAGEREF _Toc6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3.1 Kart Nerede ve Nasıl Saklanır?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7">
        <w:r>
          <w:rPr>
            <w:webHidden/>
          </w:rPr>
          <w:fldChar w:fldCharType="begin"/>
        </w:r>
        <w:r>
          <w:rPr>
            <w:webHidden/>
          </w:rPr>
          <w:instrText xml:space="preserve">PAGEREF _Toc7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3.2 Harcama Kontrol Mekanizmaları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8">
        <w:r>
          <w:rPr>
            <w:webHidden/>
          </w:rPr>
          <w:fldChar w:fldCharType="begin"/>
        </w:r>
        <w:r>
          <w:rPr>
            <w:webHidden/>
          </w:rPr>
          <w:instrText xml:space="preserve">PAGEREF _Toc8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3.3 Tahmini Aylık Maliyet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160" w:after="40"/>
        <w:ind w:left="0"/>
        <w:rPr/>
      </w:pPr>
      <w:hyperlink w:anchor="_Toc9">
        <w:r>
          <w:rPr>
            <w:webHidden/>
          </w:rPr>
          <w:fldChar w:fldCharType="begin"/>
        </w:r>
        <w:r>
          <w:rPr>
            <w:webHidden/>
          </w:rPr>
          <w:instrText xml:space="preserve">PAGEREF _Toc9 \h</w:instrText>
        </w:r>
        <w:r>
          <w:rPr>
            <w:webHidden/>
          </w:rPr>
          <w:fldChar w:fldCharType="separate"/>
        </w:r>
        <w:r>
          <w:rPr>
            <w:rStyle w:val="Style"/>
            <w:b/>
            <w:sz w:val="24"/>
          </w:rPr>
          <w:t>4. Alternatif Senaryo: Hesabın Şirket Tarafından Açılıp IAM Rolü Devredilmesi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10">
        <w:r>
          <w:rPr>
            <w:webHidden/>
          </w:rPr>
          <w:fldChar w:fldCharType="begin"/>
        </w:r>
        <w:r>
          <w:rPr>
            <w:webHidden/>
          </w:rPr>
          <w:instrText xml:space="preserve">PAGEREF _Toc10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4.1 Uçtan Uca Süreç Adımları (14 Adım)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11">
        <w:r>
          <w:rPr>
            <w:webHidden/>
          </w:rPr>
          <w:fldChar w:fldCharType="begin"/>
        </w:r>
        <w:r>
          <w:rPr>
            <w:webHidden/>
          </w:rPr>
          <w:instrText xml:space="preserve">PAGEREF _Toc11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4.2 Zaman ve İş Yükü Etkisi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12">
        <w:r>
          <w:rPr>
            <w:webHidden/>
          </w:rPr>
          <w:fldChar w:fldCharType="begin"/>
        </w:r>
        <w:r>
          <w:rPr>
            <w:webHidden/>
          </w:rPr>
          <w:instrText xml:space="preserve">PAGEREF _Toc12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4.3 Teknik ve Hukuki Riskler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160" w:after="40"/>
        <w:ind w:left="0"/>
        <w:rPr/>
      </w:pPr>
      <w:hyperlink w:anchor="_Toc13">
        <w:r>
          <w:rPr>
            <w:webHidden/>
          </w:rPr>
          <w:fldChar w:fldCharType="begin"/>
        </w:r>
        <w:r>
          <w:rPr>
            <w:webHidden/>
          </w:rPr>
          <w:instrText xml:space="preserve">PAGEREF _Toc13 \h</w:instrText>
        </w:r>
        <w:r>
          <w:rPr>
            <w:webHidden/>
          </w:rPr>
          <w:fldChar w:fldCharType="separate"/>
        </w:r>
        <w:r>
          <w:rPr>
            <w:rStyle w:val="Style"/>
            <w:b/>
            <w:sz w:val="24"/>
          </w:rPr>
          <w:t>5. Senaryo Karşılaştırması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160" w:after="40"/>
        <w:ind w:left="0"/>
        <w:rPr/>
      </w:pPr>
      <w:hyperlink w:anchor="_Toc14">
        <w:r>
          <w:rPr>
            <w:webHidden/>
          </w:rPr>
          <w:fldChar w:fldCharType="begin"/>
        </w:r>
        <w:r>
          <w:rPr>
            <w:webHidden/>
          </w:rPr>
          <w:instrText xml:space="preserve">PAGEREF _Toc14 \h</w:instrText>
        </w:r>
        <w:r>
          <w:rPr>
            <w:webHidden/>
          </w:rPr>
          <w:fldChar w:fldCharType="separate"/>
        </w:r>
        <w:r>
          <w:rPr>
            <w:rStyle w:val="Style"/>
            <w:b/>
            <w:sz w:val="24"/>
          </w:rPr>
          <w:t>6. Sonuç ve Talep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160" w:after="40"/>
        <w:ind w:left="0"/>
        <w:rPr/>
      </w:pPr>
      <w:hyperlink w:anchor="_Toc15">
        <w:r>
          <w:rPr>
            <w:webHidden/>
          </w:rPr>
          <w:fldChar w:fldCharType="begin"/>
        </w:r>
        <w:r>
          <w:rPr>
            <w:webHidden/>
          </w:rPr>
          <w:instrText xml:space="preserve">PAGEREF _Toc15 \h</w:instrText>
        </w:r>
        <w:r>
          <w:rPr>
            <w:webHidden/>
          </w:rPr>
          <w:fldChar w:fldCharType="separate"/>
        </w:r>
        <w:r>
          <w:rPr>
            <w:rStyle w:val="Style"/>
            <w:b/>
            <w:sz w:val="24"/>
          </w:rPr>
          <w:t>7. Ekler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16">
        <w:r>
          <w:rPr>
            <w:webHidden/>
          </w:rPr>
          <w:fldChar w:fldCharType="begin"/>
        </w:r>
        <w:r>
          <w:rPr>
            <w:webHidden/>
          </w:rPr>
          <w:instrText xml:space="preserve">PAGEREF _Toc16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Ek A — Açılışta 1 USD Provizyonu Hakkında</w:t>
        </w:r>
        <w:r>
          <w:rPr>
            <w:webHidden/>
          </w:rPr>
          <w:fldChar w:fldCharType="end"/>
        </w:r>
      </w:hyperlink>
    </w:p>
    <w:p>
      <w:pPr>
        <w:pStyle w:val="Normal"/>
        <w:spacing w:lineRule="auto" w:line="336" w:before="40" w:after="40"/>
        <w:ind w:left="680"/>
        <w:rPr/>
      </w:pPr>
      <w:hyperlink w:anchor="_Toc17">
        <w:r>
          <w:rPr>
            <w:webHidden/>
          </w:rPr>
          <w:fldChar w:fldCharType="begin"/>
        </w:r>
        <w:r>
          <w:rPr>
            <w:webHidden/>
          </w:rPr>
          <w:instrText xml:space="preserve">PAGEREF _Toc17 \h</w:instrText>
        </w:r>
        <w:r>
          <w:rPr>
            <w:webHidden/>
          </w:rPr>
          <w:fldChar w:fldCharType="separate"/>
        </w:r>
        <w:r>
          <w:rPr>
            <w:rStyle w:val="Style"/>
            <w:sz w:val="22"/>
          </w:rPr>
          <w:t>Ek B — Referanslar ve Dayanaklar</w:t>
        </w:r>
        <w:r>
          <w:rPr>
            <w:webHidden/>
          </w:rPr>
          <w:fldChar w:fldCharType="end"/>
        </w:r>
      </w:hyperlink>
    </w:p>
    <w:p>
      <w:pPr>
        <w:sectPr>
          <w:type w:val="nextPage"/>
          <w:pgSz w:w="12240" w:h="15840"/>
          <w:pgMar w:left="1417" w:right="1417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AWS Hesap Açılışı: Kredi Kartı Talebinin Gerekçesi ve IAM Devri Alternatifinin Teknik Risk Analizi</w:t>
      </w:r>
    </w:p>
    <w:p>
      <w:pPr>
        <w:pStyle w:val="Heading2"/>
        <w:rPr/>
      </w:pPr>
      <w:bookmarkStart w:id="0" w:name="_Toc0"/>
      <w:r>
        <w:rPr/>
        <w:t>1. Özet</w:t>
      </w:r>
      <w:bookmarkEnd w:id="0"/>
    </w:p>
    <w:p>
      <w:pPr>
        <w:pStyle w:val="Normal"/>
        <w:rPr/>
      </w:pPr>
      <w:r>
        <w:rPr>
          <w:sz w:val="24"/>
        </w:rPr>
        <w:t xml:space="preserve">Bulut altyapısı üzerinde proje ortamlarının kurulabilmesi için bir AWS (Amazon Web Services) hesabı açılması zorunludur. AWS'in ticari politikası gereği, </w:t>
      </w:r>
      <w:r>
        <w:rPr>
          <w:b/>
          <w:sz w:val="24"/>
        </w:rPr>
        <w:t>istisnasız tüm hesap türlerinde</w:t>
      </w:r>
      <w:r>
        <w:rPr>
          <w:sz w:val="24"/>
        </w:rPr>
        <w:t xml:space="preserve"> — bireysel, kurumsal ve ücretsiz kullanım (Free Tier) hesapları dahil — hesap açılış akışında geçerli bir kredi kartının ödeme yöntemi olarak kaydedilmesi </w:t>
      </w:r>
      <w:r>
        <w:rPr>
          <w:b/>
          <w:sz w:val="24"/>
        </w:rPr>
        <w:t>atlanamaz bir adımdır</w:t>
      </w:r>
      <w:r>
        <w:rPr>
          <w:sz w:val="24"/>
        </w:rPr>
        <w:t>. Kart talebi bir satın alma yetkisi arayışı değil; AWS'in kimlik doğrulama, dolandırıcılık önleme ve fatura tahsilat mekanizmasının zorunlu girdisidir.</w:t>
      </w:r>
    </w:p>
    <w:p>
      <w:pPr>
        <w:pStyle w:val="Normal"/>
        <w:rPr/>
      </w:pPr>
      <w:r>
        <w:rPr>
          <w:sz w:val="24"/>
        </w:rPr>
        <w:t xml:space="preserve">Alternatif senaryo olan "hesabın şirket tarafından açılıp yazılım ekibine IAM rolü devredilmesi" modeli ise </w:t>
      </w:r>
      <w:r>
        <w:rPr>
          <w:b/>
          <w:sz w:val="24"/>
        </w:rPr>
        <w:t>aynı kart zorunluluğunu ortadan kaldırmamakta</w:t>
      </w:r>
      <w:r>
        <w:rPr>
          <w:sz w:val="24"/>
        </w:rPr>
        <w:t>; buna ek olarak sürece 14 adımlık ek teknik konfigürasyon, 5–7 iş günü gecikme, muhasebe departmanına sürekli teknik sorumluluk ve ölçülebilir bilgi güvenliği riski eklemektedir.</w:t>
      </w:r>
    </w:p>
    <w:p>
      <w:pPr>
        <w:pStyle w:val="Normal"/>
        <w:rPr/>
      </w:pPr>
      <w:r>
        <w:rPr>
          <w:b/>
          <w:sz w:val="24"/>
        </w:rPr>
        <w:t>Öneri:</w:t>
      </w:r>
      <w:r>
        <w:rPr>
          <w:sz w:val="24"/>
        </w:rPr>
        <w:t xml:space="preserve"> Kart bilgilerinin yalnızca AWS faturalama konsoluna kaydedilmesi suretiyle hesabın yazılım ekibi tarafından açılması; tüm AWS faturalarının her ay PDF olarak muhasebeye ibraz edilmesi; bütçe alarmları ve maliyet limitleri ile harcama kontrolünün ilk açılışta kurulmasıdır.</w:t>
      </w:r>
    </w:p>
    <w:p>
      <w:pPr>
        <w:pStyle w:val="Heading2"/>
        <w:rPr/>
      </w:pPr>
      <w:bookmarkStart w:id="1" w:name="_Toc1"/>
      <w:r>
        <w:rPr/>
        <w:t>2. AWS Neden Kredi Kartı İster?</w:t>
      </w:r>
      <w:bookmarkEnd w:id="1"/>
    </w:p>
    <w:p>
      <w:pPr>
        <w:pStyle w:val="Heading3"/>
        <w:rPr/>
      </w:pPr>
      <w:bookmarkStart w:id="2" w:name="_Toc2"/>
      <w:r>
        <w:rPr/>
        <w:t>2.1 Fatura Modeli: Kullandıkça Öde (Pay-as-you-go)</w:t>
      </w:r>
      <w:bookmarkEnd w:id="2"/>
    </w:p>
    <w:p>
      <w:pPr>
        <w:pStyle w:val="Normal"/>
        <w:rPr/>
      </w:pPr>
      <w:r>
        <w:rPr>
          <w:sz w:val="24"/>
        </w:rPr>
        <w:t xml:space="preserve">AWS hizmetleri abonelik veya ön ödemeli paket modeliyle değil, </w:t>
      </w:r>
      <w:r>
        <w:rPr>
          <w:b/>
          <w:sz w:val="24"/>
        </w:rPr>
        <w:t>kullanım bazlı</w:t>
      </w:r>
      <w:r>
        <w:rPr>
          <w:sz w:val="24"/>
        </w:rPr>
        <w:t xml:space="preserve"> faturalandırılır. Aylık fiili tüketim, fatura dönemi sonunda hesaplanır ve hesaba kayıtlı ödeme yönteminden tahsil edilir. Bu modelde AWS'in ticari riski, hizmet tüketimi gerçekleştikten </w:t>
      </w:r>
      <w:r>
        <w:rPr>
          <w:i/>
          <w:sz w:val="24"/>
        </w:rPr>
        <w:t>sonra</w:t>
      </w:r>
      <w:r>
        <w:rPr>
          <w:sz w:val="24"/>
        </w:rPr>
        <w:t xml:space="preserve"> tahsilat yapmasıdır; dolayısıyla geçerli bir ödeme aracının hesaba tanımlı olması, </w:t>
      </w:r>
      <w:r>
        <w:rPr>
          <w:b/>
          <w:sz w:val="24"/>
        </w:rPr>
        <w:t>hesabın varlık koşuludur</w:t>
      </w:r>
      <w:r>
        <w:rPr>
          <w:sz w:val="24"/>
        </w:rPr>
        <w:t xml:space="preserve"> — kart kaydı olmayan bir AWS hesabı aktifleştirilmez.</w:t>
      </w:r>
    </w:p>
    <w:p>
      <w:pPr>
        <w:pStyle w:val="Heading3"/>
        <w:rPr/>
      </w:pPr>
      <w:bookmarkStart w:id="3" w:name="_Toc3"/>
      <w:r>
        <w:rPr/>
        <w:t>2.2 Açılışta Kart Kaydı Zorunludur (İstisna Yoktur)</w:t>
      </w:r>
      <w:bookmarkEnd w:id="3"/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AWS hesap açılış akışındaki "Ödeme Yöntemi" (Payment Method) adımı atlanamaz; bu adım tamamlanmadan tek bir servis dahi açılamaz.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Free Tier (12 aylık sınırlı ücretsiz kullanım)</w:t>
      </w:r>
      <w:r>
        <w:rPr>
          <w:sz w:val="24"/>
        </w:rPr>
        <w:t xml:space="preserve"> hesaplarında dahi kart kaydı zorunludur. Ücretsiz limitler aşıldığında veya 12 ay dolduğunda tahsilat yine tanımlı karttan yapılır.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Açılış sırasında kart üzerinde </w:t>
      </w:r>
      <w:r>
        <w:rPr>
          <w:b/>
          <w:sz w:val="24"/>
        </w:rPr>
        <w:t>1 ABD Doları tutarında geçici provizyon</w:t>
      </w:r>
      <w:r>
        <w:rPr>
          <w:sz w:val="24"/>
        </w:rPr>
        <w:t xml:space="preserve"> (authorization hold) oluşturulur. Bu tutar </w:t>
      </w:r>
      <w:r>
        <w:rPr>
          <w:b/>
          <w:sz w:val="24"/>
        </w:rPr>
        <w:t>tahsil edilmez</w:t>
      </w:r>
      <w:r>
        <w:rPr>
          <w:sz w:val="24"/>
        </w:rPr>
        <w:t>; 3–7 iş günü içinde otomatik serbest kalır. İşlevi yalnızca kartın geçerliliğini doğrulamaktır (bkz. Ek A).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Kart kaydı ve telefon numarası doğrulaması, AWS'in </w:t>
      </w:r>
      <w:r>
        <w:rPr>
          <w:b/>
          <w:sz w:val="24"/>
        </w:rPr>
        <w:t>dolandırıcılık önleme (anti-fraud)</w:t>
      </w:r>
      <w:r>
        <w:rPr>
          <w:sz w:val="24"/>
        </w:rPr>
        <w:t xml:space="preserve"> politikasının zorunlu bileşenleridir. Bu iki adım olmadan hesap üretilmez.</w:t>
      </w:r>
    </w:p>
    <w:p>
      <w:pPr>
        <w:pStyle w:val="Heading3"/>
        <w:rPr/>
      </w:pPr>
      <w:bookmarkStart w:id="4" w:name="_Toc4"/>
      <w:r>
        <w:rPr/>
        <w:t>2.3 "Kurumsal Faturalı Hesap" Alternatifi Bu Ölçekte Mümkün Değildir</w:t>
      </w:r>
      <w:bookmarkEnd w:id="4"/>
    </w:p>
    <w:p>
      <w:pPr>
        <w:pStyle w:val="Normal"/>
        <w:rPr/>
      </w:pPr>
      <w:r>
        <w:rPr>
          <w:sz w:val="24"/>
        </w:rPr>
        <w:t xml:space="preserve">AWS'in Türkiye'de kartsız faturalı (invoice) tahsilat modeli yalnızca </w:t>
      </w:r>
      <w:r>
        <w:rPr>
          <w:b/>
          <w:sz w:val="24"/>
        </w:rPr>
        <w:t>AWS Enterprise Agreement</w:t>
      </w:r>
      <w:r>
        <w:rPr>
          <w:sz w:val="24"/>
        </w:rPr>
        <w:t xml:space="preserve"> kapsamındaki kurumsal müşterilere sunulur. Bu modelin koşulları: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Yıllık taahhüt ve minimum harcama eşiği gerektirir,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Sözleşme müzakeresi ve veri işleme sözleşmesi (DPA) imzalanması gibi hukuk süreçlerini içerir,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Başvuru aşamasında dahi bir ödeme yöntemi kaydı talep eder.</w:t>
      </w:r>
    </w:p>
    <w:p>
      <w:pPr>
        <w:pStyle w:val="Normal"/>
        <w:rPr/>
      </w:pPr>
      <w:r>
        <w:rPr>
          <w:sz w:val="24"/>
        </w:rPr>
        <w:t>Bölüm 3.3'te sunulan aylık maliyet tahmini göz önüne alındığında, bu yol proje ölçeği için işletmesel olarak anlamlı değildir.</w:t>
      </w:r>
    </w:p>
    <w:p>
      <w:pPr>
        <w:pStyle w:val="Heading2"/>
        <w:rPr/>
      </w:pPr>
      <w:bookmarkStart w:id="5" w:name="_Toc5"/>
      <w:r>
        <w:rPr/>
        <w:t>3. Kart Bilgilerinin Kullanımı ve Güvenlik Çerçevesi</w:t>
      </w:r>
      <w:bookmarkEnd w:id="5"/>
    </w:p>
    <w:p>
      <w:pPr>
        <w:pStyle w:val="Heading3"/>
        <w:rPr/>
      </w:pPr>
      <w:bookmarkStart w:id="6" w:name="_Toc6"/>
      <w:r>
        <w:rPr/>
        <w:t>3.1 Kart Nerede ve Nasıl Saklanır?</w:t>
      </w:r>
      <w:bookmarkEnd w:id="6"/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Kart bilgisi </w:t>
      </w:r>
      <w:r>
        <w:rPr>
          <w:b/>
          <w:sz w:val="24"/>
        </w:rPr>
        <w:t>yalnızca</w:t>
      </w:r>
      <w:r>
        <w:rPr>
          <w:sz w:val="24"/>
        </w:rPr>
        <w:t xml:space="preserve"> AWS Faturalama Konsolu'na (aws.amazon.com) kaydedilir.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AWS, kart verilerini </w:t>
      </w:r>
      <w:r>
        <w:rPr>
          <w:b/>
          <w:sz w:val="24"/>
        </w:rPr>
        <w:t>PCI-DSS (Payment Card Industry Data Security Standard) Seviye 1</w:t>
      </w:r>
      <w:r>
        <w:rPr>
          <w:sz w:val="24"/>
        </w:rPr>
        <w:t xml:space="preserve"> hizmet sağlayıcı sertifikasyonu altında, tokenizasyon yöntemiyle saklar. Kart numarasının tamamı AWS personeli dahil hiç kimse tarafından görüntülenemez.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 xml:space="preserve">Kart bilgisi </w:t>
      </w:r>
      <w:r>
        <w:rPr>
          <w:b/>
          <w:sz w:val="24"/>
        </w:rPr>
        <w:t>şirketimizin hiçbir sunucusuna, yazılımına, veritabanına veya dokümanına girilmez ve kaydedilmez.</w:t>
      </w:r>
      <w:r>
        <w:rPr>
          <w:sz w:val="24"/>
        </w:rPr>
        <w:t xml:space="preserve"> Yazılım ekibinin kart verisine kalıcı erişimi yoktur; veri yalnızca açılış anında ilgili forma işlenir.</w:t>
      </w:r>
    </w:p>
    <w:p>
      <w:pPr>
        <w:pStyle w:val="ListBullet"/>
        <w:numPr>
          <w:ilvl w:val="0"/>
          <w:numId w:val="1"/>
        </w:numPr>
        <w:rPr/>
      </w:pPr>
      <w:r>
        <w:rPr>
          <w:sz w:val="24"/>
        </w:rPr>
        <w:t>KVKK (6698 sayılı Kanun) kapsamında kart verisi yalnızca AWS hesabı içinde, fatura tahsilatı amacıyla işlenir; bu işleme ilişkin sorumluluk, kart sahibinin onayı ile hesap sahibine aittir.</w:t>
      </w:r>
    </w:p>
    <w:p>
      <w:pPr>
        <w:pStyle w:val="Heading3"/>
        <w:rPr/>
      </w:pPr>
      <w:bookmarkStart w:id="7" w:name="_Toc7"/>
      <w:r>
        <w:rPr/>
        <w:t>3.2 Harcama Kontrol Mekanizmaları</w:t>
      </w:r>
      <w:bookmarkEnd w:id="7"/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AWS Budgets:</w:t>
      </w:r>
      <w:r>
        <w:rPr>
          <w:sz w:val="24"/>
        </w:rPr>
        <w:t xml:space="preserve"> Aylık bütçe eşikleri tanımlanır. Örnek: 50 USD eşiğinde bilgilendirme, 100 USD eşiğinde kritik uyarı e-postası muhasebeye iletilir.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Cost Anomaly Detection:</w:t>
      </w:r>
      <w:r>
        <w:rPr>
          <w:sz w:val="24"/>
        </w:rPr>
        <w:t xml:space="preserve"> Beklenmeyen harcama artışları (yanlış yapılandırma, kötüye kullanım) otomatik tespit edilir ve alarm üretir.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Servis limitleri:</w:t>
      </w:r>
      <w:r>
        <w:rPr>
          <w:sz w:val="24"/>
        </w:rPr>
        <w:t xml:space="preserve"> Kritik hizmetlerde aşılamaz kaynak sınırları tanımlanır.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Aylık ibraz:</w:t>
      </w:r>
      <w:r>
        <w:rPr>
          <w:sz w:val="24"/>
        </w:rPr>
        <w:t xml:space="preserve"> Tüm faturalar PDF olarak indirilir, kalem kalem muhasebeye iletilir. Harcamanın tamamı denetlenebilir ve kayıt altındadır.</w:t>
      </w:r>
    </w:p>
    <w:p>
      <w:pPr>
        <w:pStyle w:val="Heading3"/>
        <w:rPr/>
      </w:pPr>
      <w:bookmarkStart w:id="8" w:name="_Toc8"/>
      <w:r>
        <w:rPr/>
        <w:t>3.3 Tahmini Aylık Maliyet</w:t>
      </w:r>
      <w:bookmarkEnd w:id="8"/>
    </w:p>
    <w:tbl>
      <w:tblPr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Hizmet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Örnek Kaynak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Tahmini Aylık Maliyet (USD)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Amazon EC2 (sunucu)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2 × t3.small, 7/24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25–35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Amazon RDS (veritabanı)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db.t3.small (TimescaleDB)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35–55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Amazon S3 (nesne depolama)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50 GB + yedekleme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2–5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Amazon CloudWatch (izleme)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Standart metrikler + alarmlar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3–7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Veri transferi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Düşük trafik profili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1–5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sz w:val="20"/>
              </w:rPr>
              <w:t>Toplam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/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sz w:val="20"/>
              </w:rPr>
              <w:t xml:space="preserve">≈ </w:t>
            </w:r>
            <w:r>
              <w:rPr>
                <w:b/>
                <w:sz w:val="20"/>
              </w:rPr>
              <w:t>70–110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4"/>
        </w:rPr>
        <w:t>Not: Free Tier kapsamında ilk 12 ay bu maliyetin önemli bir bölümü sıfırdır; tablo üst sınır senaryosudur.</w:t>
      </w:r>
    </w:p>
    <w:p>
      <w:pPr>
        <w:pStyle w:val="Heading2"/>
        <w:rPr/>
      </w:pPr>
      <w:bookmarkStart w:id="9" w:name="_Toc9"/>
      <w:r>
        <w:rPr/>
        <w:t>4. Alternatif Senaryo: Hesabın Şirket Tarafından Açılıp IAM Rolü Devredilmesi</w:t>
      </w:r>
      <w:bookmarkEnd w:id="9"/>
    </w:p>
    <w:p>
      <w:pPr>
        <w:pStyle w:val="Normal"/>
        <w:rPr/>
      </w:pPr>
      <w:r>
        <w:rPr>
          <w:sz w:val="24"/>
        </w:rPr>
        <w:t xml:space="preserve">Bu senaryonun ilk ve en kritik gerçeği şudur: </w:t>
      </w:r>
      <w:r>
        <w:rPr>
          <w:b/>
          <w:sz w:val="24"/>
        </w:rPr>
        <w:t>şirket adına hesap açılırken de aynı kredi kartı kaydı zorunludur.</w:t>
      </w:r>
      <w:r>
        <w:rPr>
          <w:sz w:val="24"/>
        </w:rPr>
        <w:t xml:space="preserve"> Dolayısıyla bu yol kart sorununu çözmez; yalnızca sürece aşağıdaki teknik katmanları ekler.</w:t>
      </w:r>
    </w:p>
    <w:p>
      <w:pPr>
        <w:pStyle w:val="Heading3"/>
        <w:rPr/>
      </w:pPr>
      <w:bookmarkStart w:id="10" w:name="_Toc10"/>
      <w:r>
        <w:rPr/>
        <w:t>4.1 Uçtan Uca Süreç Adımları (14 Adım)</w:t>
      </w:r>
      <w:bookmarkEnd w:id="10"/>
    </w:p>
    <w:tbl>
      <w:tblPr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Adım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İçerik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Sorumlu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Tahmini Süre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Hesap başvurusu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Şirket unvanı, vergi kimlik numarası ve adres bilgileriyle AWS hesap formunun doldurulması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saat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Telefon doğrulaması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AWS otomatik araması ile PIN kodunun doğrulanması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15 dk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sz w:val="20"/>
              </w:rPr>
              <w:t>Kart kaydı (zorunlu)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Şirket kartının ödeme yöntemi olarak kaydedilmesi — Senaryo A'dakiyle birebir aynı adım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15 dk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Root hesap güvenliği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Root (kök) kullanıcı parolasının oluşturulması ve kilitli kasada saklama prosedürünün kurulması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saat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MFA aktivasyonu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Root hesap için çok faktörlü kimlik doğrulama (donanım anahtarı veya TOTP) kurulumu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saat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6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AWS Organizations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Çoklu hesap yapısının kurulması, yönetim (management) hesabının ve yapısal birimlerin (OU) tanımlanması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 + Muhasebe onayı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gün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7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IAM kullanıcı ve rol tanımı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 için IAM Identity Center kullanıcıları ile rol tanımlarının oluşturulması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Yarım gün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8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Least-privilege politika tasarımı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EC2, RDS, S3, CloudWatch, IAM, Billing dahil tüm servisler için ayrıntılı izin matrisinin (JSON policy) yazılması ve gözden geçirilmesi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2–3 gün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9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Trust policy tanımı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Rol devri (role assumption) için güven zincirinin (trust relationship) ve koşulların tanımlanması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gün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10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Kimlik bilgisi dağıtımı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Erişim anahtarları ve rol ARN'lerinin şifreli kanaldan dağıtılması, saklama prosedürü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saat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11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Denetim kayıtları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CloudTrail ve AWS Config'in tüm bölgelerde aktifleştirilmesi, log saklama politikasının tanımı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gün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12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Test ve doğrulama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İzin matrisinin her satırının pozitif/negatif testi; yetkisiz erişim denemelerinin doğrulanması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gün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13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Dokümantasyon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Süreç ve erişim envanterinin, sorumluluk matrisinin (RACI) kayıt altına alınması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Yarım gün</w:t>
            </w:r>
          </w:p>
        </w:tc>
      </w:tr>
      <w:tr>
        <w:trPr/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14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 üzerindeki sürekli yük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Root parola yenileme, MFA cihazı yönetimi, Billing erişimi, faturaların teknik ekibe iletilmesi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</w:t>
            </w:r>
          </w:p>
        </w:tc>
        <w:tc>
          <w:tcPr>
            <w:tcW w:w="1881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Sürekli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1" w:name="_Toc11"/>
      <w:r>
        <w:rPr/>
        <w:t>4.2 Zaman ve İş Yükü Etkisi</w:t>
      </w:r>
      <w:bookmarkEnd w:id="11"/>
    </w:p>
    <w:tbl>
      <w:tblPr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Kalem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Senaryo A: Kart + hesap teknik ekipte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Senaryo B: Şirket hesabı + IAM devri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Toplam kurulum süresi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iş günü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5–7 iş günü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 iş yükü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15 dakika (kart bilgisi iletimi)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 xml:space="preserve">≥ </w:t>
            </w:r>
            <w:r>
              <w:rPr>
                <w:sz w:val="20"/>
              </w:rPr>
              <w:t>4 saat kurulum + sürekli teknik yük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 iş yükü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gün (ortam kurulumu)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7–9 gün (IAM tasarım + test + dokümantasyon)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Ek mühendislik maliyeti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—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6–8 iş günü × mühendis adam-gün bedeli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Proje etkisi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Yok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Kabul takviminde doğrudan kayma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2" w:name="_Toc12"/>
      <w:r>
        <w:rPr/>
        <w:t>4.3 Teknik ve Hukuki Riskler</w:t>
      </w:r>
      <w:bookmarkEnd w:id="12"/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IAM yanlış yapılandırması:</w:t>
      </w:r>
      <w:r>
        <w:rPr>
          <w:sz w:val="24"/>
        </w:rPr>
        <w:t xml:space="preserve"> Bulut ortamlarında en sık görülen güvenlik açığı sınıfıdır. Aşırı yetkili (over-privileged) bir politika, hatalı veya kötü niyetli erişimde veri ihlaline yol açar. KVKK m.12 ile ISO/IEC 27001 Ek A (5.15, 5.18) uyarınca erişim haklarının tasarımı, gözden geçirilmesi ve sürekliliği </w:t>
      </w:r>
      <w:r>
        <w:rPr>
          <w:b/>
          <w:sz w:val="24"/>
        </w:rPr>
        <w:t>hesabın sahibi olan tarafın (root sahibi = muhasebe) hukuki yükümlülüğüdür.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Root hesabın kilitlenmesi veya parola/MFA kaybı:</w:t>
      </w:r>
      <w:r>
        <w:rPr>
          <w:sz w:val="24"/>
        </w:rPr>
        <w:t xml:space="preserve"> AWS hesap kurtarma süreci, kimlik belgeleri ve faturalı adres teyidi gerektirir; bazı durumlarda noter onaylı belge istenir. Kurtarma tamamlanana kadar tüm üretim ortamı erişilemez durumda kalır.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Denetim izi sorumluluğu:</w:t>
      </w:r>
      <w:r>
        <w:rPr>
          <w:sz w:val="24"/>
        </w:rPr>
        <w:t xml:space="preserve"> CloudTrail kayıtları mali ve teknik denetimlerde harcama kanıtı olarak kullanılır. Konfigürasyon eksikliğinde harcamaların hangi birim tarafından yapıldığı kanıtlanamaz hale gelir.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Çifte sorumluluk bulanıklığı:</w:t>
      </w:r>
      <w:r>
        <w:rPr>
          <w:sz w:val="24"/>
        </w:rPr>
        <w:t xml:space="preserve"> Root hesap muhasebede, günlük kullanım teknik ekipte olduğunda; güvenlik olayı müdahalesinde karar zinciri yavaşlar ve sorumluluk paylaşımı belirsizleşir.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Proje gecikmesi:</w:t>
      </w:r>
      <w:r>
        <w:rPr>
          <w:sz w:val="24"/>
        </w:rPr>
        <w:t xml:space="preserve"> 5–7 iş günü ek süre; bağımlı iş paketlerini, saha kabul takvimini ve müşteriye taahhüt edilen teslimat tarihlerini doğrudan etkiler.</w:t>
      </w:r>
    </w:p>
    <w:p>
      <w:pPr>
        <w:pStyle w:val="Heading2"/>
        <w:rPr/>
      </w:pPr>
      <w:bookmarkStart w:id="13" w:name="_Toc13"/>
      <w:r>
        <w:rPr/>
        <w:t>5. Senaryo Karşılaştırması</w:t>
      </w:r>
      <w:bookmarkEnd w:id="13"/>
    </w:p>
    <w:tbl>
      <w:tblPr>
        <w:tblW w:w="94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Kriter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Senaryo A: Kart bilgisi + hesap teknik ekipte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fill="1A3A5C" w:val="clear"/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b/>
                <w:color w:val="FFFFFF"/>
                <w:sz w:val="20"/>
              </w:rPr>
              <w:t>Senaryo B: Şirket hesabı + IAM devri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Kredi kartı gereksinimi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Gerekli — tek seferlik kayıt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Gerekli — **değişmez, aynı kart istenir**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Kurulum süresi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 iş günü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5–7 iş günü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Muhasebe iş yükü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15 dakika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 xml:space="preserve">≥ </w:t>
            </w:r>
            <w:r>
              <w:rPr>
                <w:sz w:val="20"/>
              </w:rPr>
              <w:t>4 saat + sürekli teknik yük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Fatura denetimi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Aylık PDF ibrazı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Aylık PDF ibrazı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Güvenlik sorumluluğu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Teknik ekipte (uzmanlık alanı)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**Muhasebede** (root sahipliği)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Kilitlenme / kesinti riski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Düşük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Orta–Yüksek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Uyumluluk riski (KVKK, ISO 27001)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Düşük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Orta</w:t>
            </w:r>
          </w:p>
        </w:tc>
      </w:tr>
      <w:tr>
        <w:trPr/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Toplam maliyet etkisi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Referans</w:t>
            </w:r>
          </w:p>
        </w:tc>
        <w:tc>
          <w:tcPr>
            <w:tcW w:w="3135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pStyle w:val="Normal"/>
              <w:spacing w:before="0" w:after="120"/>
              <w:jc w:val="left"/>
              <w:rPr/>
            </w:pPr>
            <w:r>
              <w:rPr>
                <w:sz w:val="20"/>
              </w:rPr>
              <w:t>+6–8 iş günü mühendislik maliyeti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Toc14"/>
      <w:r>
        <w:rPr/>
        <w:t>6. Sonuç ve Talep</w:t>
      </w:r>
      <w:bookmarkEnd w:id="14"/>
    </w:p>
    <w:p>
      <w:pPr>
        <w:pStyle w:val="Normal"/>
        <w:rPr/>
      </w:pPr>
      <w:r>
        <w:rPr>
          <w:sz w:val="24"/>
        </w:rPr>
        <w:t xml:space="preserve">Her iki senaryoda da kredi kartı kaydı zorunludur. Senaryo B, Senaryo A'ya kıyasla </w:t>
      </w:r>
      <w:r>
        <w:rPr>
          <w:b/>
          <w:sz w:val="24"/>
        </w:rPr>
        <w:t>hiçbir maliyet avantajı sağlamamakta</w:t>
      </w:r>
      <w:r>
        <w:rPr>
          <w:sz w:val="24"/>
        </w:rPr>
        <w:t>; yalnızca süre, risk ve muhasebe departmanı üzerinde sürekli teknik sorumluluk eklemektedir. Kart bilgisinin paylaşılmasındaki çekince haklı olmakla birlikte, Bölüm 3.1'de açıklanan güvenlik çerçevesi (PCI-DSS Seviye 1, tokenizasyon, kurumsal sistemlere kaydedilmeme garantisi) bu çekinceyi karşılamaktadır.</w:t>
      </w:r>
    </w:p>
    <w:p>
      <w:pPr>
        <w:pStyle w:val="Normal"/>
        <w:rPr/>
      </w:pPr>
      <w:r>
        <w:rPr>
          <w:b/>
          <w:sz w:val="24"/>
        </w:rPr>
        <w:t>Talep edilenler: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 xml:space="preserve">Şirket kredi kartına ait kart numarası, son kullanma tarihi ve CVV bilgilerinin, muhasebe tarafından güvenli kanaldan ve </w:t>
      </w:r>
      <w:r>
        <w:rPr>
          <w:b/>
          <w:sz w:val="24"/>
        </w:rPr>
        <w:t>yalnızca</w:t>
      </w:r>
      <w:r>
        <w:rPr>
          <w:sz w:val="24"/>
        </w:rPr>
        <w:t xml:space="preserve"> hesap açılışını gerçekleştirecek yetkili personele iletilmesi.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Hesabın yazılım ekibi tarafından açılması ve kartın yalnızca AWS Faturalama Konsolu'na kaydedilmesi.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Aylık AWS faturalarının PDF olarak, kalem kalem muhasebeye ibraz edilmesi.</w:t>
      </w:r>
    </w:p>
    <w:p>
      <w:pPr>
        <w:pStyle w:val="ListNumber"/>
        <w:numPr>
          <w:ilvl w:val="0"/>
          <w:numId w:val="4"/>
        </w:numPr>
        <w:rPr/>
      </w:pPr>
      <w:r>
        <w:rPr>
          <w:sz w:val="24"/>
        </w:rPr>
        <w:t>Açılışla birlikte bütçe alarmlarının (50/100 USD eşikleri) ve harcama anomali tespitinin kurulması.</w:t>
      </w:r>
    </w:p>
    <w:p>
      <w:pPr>
        <w:pStyle w:val="Heading2"/>
        <w:rPr/>
      </w:pPr>
      <w:bookmarkStart w:id="15" w:name="_Toc15"/>
      <w:r>
        <w:rPr/>
        <w:t>7. Ekler</w:t>
      </w:r>
      <w:bookmarkEnd w:id="15"/>
    </w:p>
    <w:p>
      <w:pPr>
        <w:pStyle w:val="Heading3"/>
        <w:rPr/>
      </w:pPr>
      <w:bookmarkStart w:id="16" w:name="_Toc16"/>
      <w:r>
        <w:rPr/>
        <w:t>Ek A — Açılışta 1 USD Provizyonu Hakkında</w:t>
      </w:r>
      <w:bookmarkEnd w:id="16"/>
    </w:p>
    <w:p>
      <w:pPr>
        <w:pStyle w:val="Normal"/>
        <w:rPr/>
      </w:pPr>
      <w:r>
        <w:rPr>
          <w:sz w:val="24"/>
        </w:rPr>
        <w:t xml:space="preserve">AWS hesap açılışında kart üzerinde 1 ABD Doları tutarında geçici rezervasyon (authorization hold) oluşur. Bu tutar </w:t>
      </w:r>
      <w:r>
        <w:rPr>
          <w:b/>
          <w:sz w:val="24"/>
        </w:rPr>
        <w:t>tahsil edilmez</w:t>
      </w:r>
      <w:r>
        <w:rPr>
          <w:sz w:val="24"/>
        </w:rPr>
        <w:t>; ekstrede bekleyen provizyon olarak görünür ve 3–7 iş günü içinde otomatik serbest kalır. Ekstrede "AWS" ibareli bu satırın harcama olarak deftere işlenmemesi ve ay sonu mutabakatında dikkate alınması önerilir.</w:t>
      </w:r>
    </w:p>
    <w:p>
      <w:pPr>
        <w:pStyle w:val="Heading3"/>
        <w:rPr/>
      </w:pPr>
      <w:bookmarkStart w:id="17" w:name="_Toc17"/>
      <w:r>
        <w:rPr/>
        <w:t>Ek B — Referanslar ve Dayanaklar</w:t>
      </w:r>
      <w:bookmarkEnd w:id="17"/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AWS Customer Agreement (Faturalama Politikaları):</w:t>
      </w:r>
      <w:r>
        <w:rPr>
          <w:sz w:val="24"/>
        </w:rPr>
        <w:t xml:space="preserve"> Geçerli bir ödeme yöntemi kaydının hesap açılış koşulu olduğu hükmü.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PCI-DSS Seviye 1 Sertifikası (AWS):</w:t>
      </w:r>
      <w:r>
        <w:rPr>
          <w:sz w:val="24"/>
        </w:rPr>
        <w:t xml:space="preserve"> Kart verilerinin saklanması ve işlenmesine ilişkin uyumluluk.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4"/>
        </w:rPr>
        <w:t>ISO/IEC 27001 ve ISO/IEC 27017:</w:t>
      </w:r>
      <w:r>
        <w:rPr>
          <w:sz w:val="24"/>
        </w:rPr>
        <w:t xml:space="preserve"> Bilgi güvenliği yönetimi ve bulut hizmetleri güvenlik kontrolleri; erişim kontrolü yükümlülükleri (Ek A, 5.15/5.18).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/>
      </w:pPr>
      <w:r>
        <w:rPr>
          <w:b/>
          <w:sz w:val="24"/>
        </w:rPr>
        <w:t>KVKK (6698 sayılı Kanun), m.12:</w:t>
      </w:r>
      <w:r>
        <w:rPr>
          <w:sz w:val="24"/>
        </w:rPr>
        <w:t xml:space="preserve"> Veri güvenliğine ilişkin teknik ve idari tedbirlerin alınması yükümlülüğü.</w:t>
      </w:r>
    </w:p>
    <w:sectPr>
      <w:headerReference w:type="even" r:id="rId3"/>
      <w:headerReference w:type="default" r:id="rId4"/>
      <w:headerReference w:type="first" r:id="rId5"/>
      <w:type w:val="nextPage"/>
      <w:pgSz w:w="12240" w:h="15840"/>
      <w:pgMar w:left="1417" w:right="1417" w:gutter="0" w:header="72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5733415" cy="69850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69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inline distT="0" distB="0" distL="0" distR="0">
          <wp:extent cx="5733415" cy="698500"/>
          <wp:effectExtent l="0" t="0" r="0" b="0"/>
          <wp:docPr id="3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3415" cy="698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  <Pages>9</Pages>
  <Words>1662</Words>
  <Characters>10287</Characters>
  <CharactersWithSpaces>11697</CharactersWithSpaces>
  <Paragraphs>220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2026-08-14T10:09:46Z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