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89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/>
          <w:b/>
          <w:color w:val="000000"/>
          <w:sz w:val="52"/>
        </w:rPr>
        <w:t>EPIAS-API entegrasyonu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/>
          <w:color w:val="646464"/>
          <w:sz w:val="28"/>
        </w:rPr>
      </w:r>
    </w:p>
    <w:p>
      <w:pPr>
        <w:spacing w:before="800"/>
        <w:jc w:val="center"/>
      </w:pPr>
      <w:r>
        <w:rPr>
          <w:rFonts w:ascii="Times New Roman" w:hAnsi="Times New Roman"/>
          <w:color w:val="828282"/>
          <w:sz w:val="22"/>
        </w:rPr>
      </w: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/>
          <w:b/>
          <w:color w:val="000000"/>
          <w:sz w:val="40"/>
        </w:rPr>
        <w:t>ICINDEKILER</w:t>
      </w:r>
    </w:p>
    <w:p>
      <w:pPr>
        <w:spacing w:after="80"/>
      </w:pPr>
    </w:p>
    <w:p>
      <w:pPr>
        <w:spacing w:after="40" w:line="336" w:lineRule="auto" w:before="160"/>
        <w:ind w:left="0"/>
      </w:pPr>
      <w:hyperlink w:anchor="_Toc0" w:history="1">
        <w:r>
          <w:rPr>
            <w:rStyle w:val="Hyperlink"/>
            <w:sz w:val="24"/>
            <w:b/>
          </w:rPr>
          <w:t xml:space="preserve">1. Özet</w:t>
        </w:r>
      </w:hyperlink>
    </w:p>
    <w:p>
      <w:pPr>
        <w:spacing w:after="40" w:line="336" w:lineRule="auto" w:before="160"/>
        <w:ind w:left="0"/>
      </w:pPr>
      <w:hyperlink w:anchor="_Toc1" w:history="1">
        <w:r>
          <w:rPr>
            <w:rStyle w:val="Hyperlink"/>
            <w:sz w:val="24"/>
            <w:b/>
          </w:rPr>
          <w:t xml:space="preserve">2. Platform Hakkında</w:t>
        </w:r>
      </w:hyperlink>
    </w:p>
    <w:p>
      <w:pPr>
        <w:spacing w:after="40" w:line="336" w:lineRule="auto" w:before="160"/>
        <w:ind w:left="0"/>
      </w:pPr>
      <w:hyperlink w:anchor="_Toc2" w:history="1">
        <w:r>
          <w:rPr>
            <w:rStyle w:val="Hyperlink"/>
            <w:sz w:val="24"/>
            <w:b/>
          </w:rPr>
          <w:t xml:space="preserve">3. Erişim Modeli</w:t>
        </w:r>
      </w:hyperlink>
    </w:p>
    <w:p>
      <w:pPr>
        <w:spacing w:after="40" w:line="336" w:lineRule="auto" w:before="40"/>
        <w:ind w:left="680"/>
      </w:pPr>
      <w:hyperlink w:anchor="_Toc3" w:history="1">
        <w:r>
          <w:rPr>
            <w:rStyle w:val="Hyperlink"/>
            <w:sz w:val="22"/>
          </w:rPr>
          <w:t xml:space="preserve">3.1 Kayıt</w:t>
        </w:r>
      </w:hyperlink>
    </w:p>
    <w:p>
      <w:pPr>
        <w:spacing w:after="40" w:line="336" w:lineRule="auto" w:before="40"/>
        <w:ind w:left="680"/>
      </w:pPr>
      <w:hyperlink w:anchor="_Toc4" w:history="1">
        <w:r>
          <w:rPr>
            <w:rStyle w:val="Hyperlink"/>
            <w:sz w:val="22"/>
          </w:rPr>
          <w:t xml:space="preserve">3.2 Giriş ve İstek Doğrulaması (CAS TGT)</w:t>
        </w:r>
      </w:hyperlink>
    </w:p>
    <w:p>
      <w:pPr>
        <w:spacing w:after="40" w:line="336" w:lineRule="auto" w:before="40"/>
        <w:ind w:left="680"/>
      </w:pPr>
      <w:hyperlink w:anchor="_Toc5" w:history="1">
        <w:r>
          <w:rPr>
            <w:rStyle w:val="Hyperlink"/>
            <w:sz w:val="22"/>
          </w:rPr>
          <w:t xml:space="preserve">3.3 Canlı Sistem Testi (Ağustos 2026)</w:t>
        </w:r>
      </w:hyperlink>
    </w:p>
    <w:p>
      <w:pPr>
        <w:spacing w:after="40" w:line="336" w:lineRule="auto" w:before="40"/>
        <w:ind w:left="680"/>
      </w:pPr>
      <w:hyperlink w:anchor="_Toc6" w:history="1">
        <w:r>
          <w:rPr>
            <w:rStyle w:val="Hyperlink"/>
            <w:sz w:val="22"/>
          </w:rPr>
          <w:t xml:space="preserve">3.4 Ücret</w:t>
        </w:r>
      </w:hyperlink>
    </w:p>
    <w:p>
      <w:pPr>
        <w:spacing w:after="40" w:line="336" w:lineRule="auto" w:before="160"/>
        <w:ind w:left="0"/>
      </w:pPr>
      <w:hyperlink w:anchor="_Toc7" w:history="1">
        <w:r>
          <w:rPr>
            <w:rStyle w:val="Hyperlink"/>
            <w:sz w:val="24"/>
            <w:b/>
          </w:rPr>
          <w:t xml:space="preserve">4. Piyasa Kavramları (Kısa Sözlük)</w:t>
        </w:r>
      </w:hyperlink>
    </w:p>
    <w:p>
      <w:pPr>
        <w:spacing w:after="40" w:line="336" w:lineRule="auto" w:before="160"/>
        <w:ind w:left="0"/>
      </w:pPr>
      <w:hyperlink w:anchor="_Toc8" w:history="1">
        <w:r>
          <w:rPr>
            <w:rStyle w:val="Hyperlink"/>
            <w:sz w:val="24"/>
            <w:b/>
          </w:rPr>
          <w:t xml:space="preserve">5. İş Senaryosu Eşleme</w:t>
        </w:r>
      </w:hyperlink>
    </w:p>
    <w:p>
      <w:pPr>
        <w:spacing w:after="40" w:line="336" w:lineRule="auto" w:before="160"/>
        <w:ind w:left="0"/>
      </w:pPr>
      <w:hyperlink w:anchor="_Toc9" w:history="1">
        <w:r>
          <w:rPr>
            <w:rStyle w:val="Hyperlink"/>
            <w:sz w:val="24"/>
            <w:b/>
          </w:rPr>
          <w:t xml:space="preserve">6. Veri Kataloğu</w:t>
        </w:r>
      </w:hyperlink>
    </w:p>
    <w:p>
      <w:pPr>
        <w:spacing w:after="40" w:line="336" w:lineRule="auto" w:before="40"/>
        <w:ind w:left="680"/>
      </w:pPr>
      <w:hyperlink w:anchor="_Toc10" w:history="1">
        <w:r>
          <w:rPr>
            <w:rStyle w:val="Hyperlink"/>
            <w:sz w:val="22"/>
          </w:rPr>
          <w:t xml:space="preserve">6.1 Piyasa Fiyatları (öncelikli grup)</w:t>
        </w:r>
      </w:hyperlink>
    </w:p>
    <w:p>
      <w:pPr>
        <w:spacing w:after="40" w:line="336" w:lineRule="auto" w:before="40"/>
        <w:ind w:left="680"/>
      </w:pPr>
      <w:hyperlink w:anchor="_Toc11" w:history="1">
        <w:r>
          <w:rPr>
            <w:rStyle w:val="Hyperlink"/>
            <w:sz w:val="22"/>
          </w:rPr>
          <w:t xml:space="preserve">6.2 Tüketim ve Talep</w:t>
        </w:r>
      </w:hyperlink>
    </w:p>
    <w:p>
      <w:pPr>
        <w:spacing w:after="40" w:line="336" w:lineRule="auto" w:before="40"/>
        <w:ind w:left="680"/>
      </w:pPr>
      <w:hyperlink w:anchor="_Toc12" w:history="1">
        <w:r>
          <w:rPr>
            <w:rStyle w:val="Hyperlink"/>
            <w:sz w:val="22"/>
          </w:rPr>
          <w:t xml:space="preserve">6.3 Üretim</w:t>
        </w:r>
      </w:hyperlink>
    </w:p>
    <w:p>
      <w:pPr>
        <w:spacing w:after="40" w:line="336" w:lineRule="auto" w:before="40"/>
        <w:ind w:left="680"/>
      </w:pPr>
      <w:hyperlink w:anchor="_Toc13" w:history="1">
        <w:r>
          <w:rPr>
            <w:rStyle w:val="Hyperlink"/>
            <w:sz w:val="22"/>
          </w:rPr>
          <w:t xml:space="preserve">6.4 Kesinti ve İletim</w:t>
        </w:r>
      </w:hyperlink>
    </w:p>
    <w:p>
      <w:pPr>
        <w:spacing w:after="40" w:line="336" w:lineRule="auto" w:before="40"/>
        <w:ind w:left="680"/>
      </w:pPr>
      <w:hyperlink w:anchor="_Toc14" w:history="1">
        <w:r>
          <w:rPr>
            <w:rStyle w:val="Hyperlink"/>
            <w:sz w:val="22"/>
          </w:rPr>
          <w:t xml:space="preserve">6.5 Dashboard Özet Servisleri (patron/saha admin görünümü)</w:t>
        </w:r>
      </w:hyperlink>
    </w:p>
    <w:p>
      <w:pPr>
        <w:spacing w:after="40" w:line="336" w:lineRule="auto" w:before="40"/>
        <w:ind w:left="680"/>
      </w:pPr>
      <w:hyperlink w:anchor="_Toc15" w:history="1">
        <w:r>
          <w:rPr>
            <w:rStyle w:val="Hyperlink"/>
            <w:sz w:val="22"/>
          </w:rPr>
          <w:t xml:space="preserve">6.6 Zorunlu Olmayan, İleride Gerekebilecek Veriler</w:t>
        </w:r>
      </w:hyperlink>
    </w:p>
    <w:p>
      <w:pPr>
        <w:spacing w:after="40" w:line="336" w:lineRule="auto" w:before="160"/>
        <w:ind w:left="0"/>
      </w:pPr>
      <w:hyperlink w:anchor="_Toc16" w:history="1">
        <w:r>
          <w:rPr>
            <w:rStyle w:val="Hyperlink"/>
            <w:sz w:val="24"/>
            <w:b/>
          </w:rPr>
          <w:t xml:space="preserve">7. Açık Erişim ve Başvuru Matrisi</w:t>
        </w:r>
      </w:hyperlink>
    </w:p>
    <w:p>
      <w:pPr>
        <w:spacing w:after="40" w:line="336" w:lineRule="auto" w:before="160"/>
        <w:ind w:left="0"/>
      </w:pPr>
      <w:hyperlink w:anchor="_Toc17" w:history="1">
        <w:r>
          <w:rPr>
            <w:rStyle w:val="Hyperlink"/>
            <w:sz w:val="24"/>
            <w:b/>
          </w:rPr>
          <w:t xml:space="preserve">8. Önerilen İlk Faz Veri Seti</w:t>
        </w:r>
      </w:hyperlink>
    </w:p>
    <w:p>
      <w:pPr>
        <w:spacing w:after="40" w:line="336" w:lineRule="auto" w:before="160"/>
        <w:ind w:left="0"/>
      </w:pPr>
      <w:hyperlink w:anchor="_Toc18" w:history="1">
        <w:r>
          <w:rPr>
            <w:rStyle w:val="Hyperlink"/>
            <w:sz w:val="24"/>
            <w:b/>
          </w:rPr>
          <w:t xml:space="preserve">9. Riskler ve Açık Sorular</w:t>
        </w:r>
      </w:hyperlink>
    </w:p>
    <w:p>
      <w:pPr>
        <w:spacing w:after="40" w:line="336" w:lineRule="auto" w:before="160"/>
        <w:ind w:left="0"/>
      </w:pPr>
      <w:hyperlink w:anchor="_Toc19" w:history="1">
        <w:r>
          <w:rPr>
            <w:rStyle w:val="Hyperlink"/>
            <w:sz w:val="24"/>
            <w:b/>
          </w:rPr>
          <w:t xml:space="preserve">10. Kaynaklar</w:t>
        </w:r>
      </w:hyperlink>
    </w:p>
    <w:p>
      <w:r>
        <w:br w:type="page"/>
      </w:r>
    </w:p>
    <w:p>
      <w:pPr>
        <w:sectPr>
          <w:pgSz w:w="12240" w:h="15840"/>
          <w:pgMar w:top="1134" w:right="1417" w:bottom="1134" w:left="1417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t>EPİAŞ Şeffaflık Platformu — Veri Kullanım Analizi ve Erişim Durumu</w:t>
      </w:r>
    </w:p>
    <w:p>
      <w:bookmarkStart w:id="0" w:name="_Toc0"/>
      <w:pPr>
        <w:pStyle w:val="Heading2"/>
      </w:pPr>
      <w:r>
        <w:t>1. Özet</w:t>
      </w:r>
      <w:bookmarkEnd w:id="0"/>
    </w:p>
    <w:p>
      <w:r>
        <w:rPr>
          <w:rFonts w:ascii="Times New Roman" w:hAnsi="Times New Roman"/>
          <w:sz w:val="24"/>
        </w:rPr>
        <w:t>BESS (batarya enerji depolama) sahalarının şarj/deşarj karar desteği ve varlık yönetimi ekranları için EPİAŞ Şeffaflık Platformu REST servisleri incelendi. İnceleme kapsamı: EPİAŞ'ın 584 sayfalık teknik servis dokümanı, platformun kayıt/giriş altyapısı ve canlı ortama yapılan test istekleri.</w:t>
      </w:r>
    </w:p>
    <w:p>
      <w:r>
        <w:rPr>
          <w:rFonts w:ascii="Times New Roman" w:hAnsi="Times New Roman"/>
          <w:sz w:val="24"/>
        </w:rPr>
        <w:t>Ana sonuçlar: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Veri içeriği açısından tamamı açıktır.</w:t>
      </w:r>
      <w:r>
        <w:rPr>
          <w:rFonts w:ascii="Times New Roman" w:hAnsi="Times New Roman"/>
          <w:sz w:val="24"/>
        </w:rPr>
        <w:t xml:space="preserve"> Şeffaflık Platformu'nda yayımlanan tüm veriler (fiyatlar, tahminler, üretim/tüketim, kesintiler) mevzuat gereği kamuya açık veridir; </w:t>
      </w:r>
      <w:r>
        <w:rPr>
          <w:rFonts w:ascii="Times New Roman" w:hAnsi="Times New Roman"/>
          <w:b/>
          <w:sz w:val="24"/>
        </w:rPr>
        <w:t>ücretli bir veri katmanı veya sözleşmeye bağlı bir veri seti yoktur.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Erişim tek koşula bağlıdır: kayıt + kullanıcı girişi.</w:t>
      </w:r>
      <w:r>
        <w:rPr>
          <w:rFonts w:ascii="Times New Roman" w:hAnsi="Times New Roman"/>
          <w:sz w:val="24"/>
        </w:rPr>
        <w:t xml:space="preserve"> Platform web arayüzü herkese açıktır; programatik erişim (API) için EPİAŞ'ın kayıt formundan üyelik oluşturulması ve her istekte kısa ömürlü bir giriş anahtarı (TGT) taşınması gerekir. Kayıt ücretsizdir; lisans bilgisi isteğe bağlı alandır.</w:t>
      </w:r>
    </w:p>
    <w:p>
      <w:pPr>
        <w:pStyle w:val="ListBullet"/>
      </w:pPr>
      <w:r>
        <w:rPr>
          <w:rFonts w:ascii="Times New Roman" w:hAnsi="Times New Roman"/>
          <w:b/>
          <w:sz w:val="24"/>
        </w:rPr>
        <w:t>Eski erişim modeli (API anahtarı + şartname + IP beyanı) güncel değildir.</w:t>
      </w:r>
      <w:r>
        <w:rPr>
          <w:rFonts w:ascii="Times New Roman" w:hAnsi="Times New Roman"/>
          <w:sz w:val="24"/>
        </w:rPr>
        <w:t xml:space="preserve"> 2024 ortasında tüm API erişimi CAS tabanlı giriş sistemine (TGT) taşınmıştır; canlı sistemde anahtarsız isteğin reddedildiği tarafımızca test edilmiştir.</w:t>
      </w:r>
    </w:p>
    <w:p>
      <w:pPr>
        <w:pStyle w:val="ListBullet"/>
      </w:pPr>
      <w:r>
        <w:rPr>
          <w:rFonts w:ascii="Times New Roman" w:hAnsi="Times New Roman"/>
          <w:sz w:val="24"/>
        </w:rPr>
        <w:t>BESS karar senaryoları için gereken tüm fiyat serileri (PTF, GİP, SMF, dengesizlik) ve tamamlayıcı veriler (talep tahmini, gerçek zamanlı tüketim, kesintiler) bu platformdan çekilebilir.</w:t>
      </w:r>
    </w:p>
    <w:p>
      <w:bookmarkStart w:id="1" w:name="_Toc1"/>
      <w:pPr>
        <w:pStyle w:val="Heading2"/>
      </w:pPr>
      <w:r>
        <w:t>2. Platform Hakkında</w:t>
      </w:r>
      <w:bookmarkEnd w:id="1"/>
    </w:p>
    <w:p>
      <w:r>
        <w:rPr>
          <w:rFonts w:ascii="Times New Roman" w:hAnsi="Times New Roman"/>
          <w:sz w:val="24"/>
        </w:rPr>
        <w:t>EPİAŞ Şeffaflık Platformu (</w:t>
      </w:r>
      <w:r>
        <w:rPr>
          <w:rFonts w:ascii="Courier New" w:hAnsi="Courier New"/>
          <w:sz w:val="20"/>
        </w:rPr>
        <w:t>seffaflik.epias.com.tr</w:t>
      </w:r>
      <w:r>
        <w:rPr>
          <w:rFonts w:ascii="Times New Roman" w:hAnsi="Times New Roman"/>
          <w:sz w:val="24"/>
        </w:rPr>
        <w:t>), işlettiği piyasalara (GÖP, GİP, DGP, VEP, YEK-G) ait verileri fırsat eşitliği çerçevesinde yayımlayan merkezi veri platformudur. Web arayüzünde görülen tüm veriler, aynı içerikle açık REST servisleri üzerinden de sunulur.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703"/>
        <w:gridCol w:w="4703"/>
      </w:tblGrid>
      <w:tr>
        <w:tc>
          <w:tcPr>
            <w:tcW w:type="dxa" w:w="4703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Konu</w:t>
            </w:r>
          </w:p>
        </w:tc>
        <w:tc>
          <w:tcPr>
            <w:tcW w:type="dxa" w:w="4703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Durum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Servis ailesi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electricity-service (elektrik piyasaları), v1 — ~300 veri servisi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İstek/cevap formatı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JSON veya XML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Tarih formatı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ISO-8601, **Türkiye saati** — 2023-11-14T17:30:00+03:00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Sayfalama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İstek gövdesinde page bilgisi (sayfa no, satır sayısı, sıralama)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Zaman dilimi uyarısı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Veriler TR saatine göredir; eski verilerde yaz/kış saati farkı (DST) dikkate alınmalıdır</w:t>
            </w:r>
          </w:p>
        </w:tc>
      </w:tr>
    </w:tbl>
    <w:p/>
    <w:p>
      <w:r>
        <w:rPr>
          <w:rFonts w:ascii="Times New Roman" w:hAnsi="Times New Roman"/>
          <w:sz w:val="24"/>
        </w:rPr>
        <w:t xml:space="preserve">Fiyat ve miktar servislerinin büyük bölümü </w:t>
      </w:r>
      <w:r>
        <w:rPr>
          <w:rFonts w:ascii="Courier New" w:hAnsi="Courier New"/>
          <w:sz w:val="20"/>
        </w:rPr>
        <w:t>startDate</w:t>
      </w:r>
      <w:r>
        <w:rPr>
          <w:rFonts w:ascii="Times New Roman" w:hAnsi="Times New Roman"/>
          <w:sz w:val="24"/>
        </w:rPr>
        <w:t xml:space="preserve"> / </w:t>
      </w:r>
      <w:r>
        <w:rPr>
          <w:rFonts w:ascii="Courier New" w:hAnsi="Courier New"/>
          <w:sz w:val="20"/>
        </w:rPr>
        <w:t>endDate</w:t>
      </w:r>
      <w:r>
        <w:rPr>
          <w:rFonts w:ascii="Times New Roman" w:hAnsi="Times New Roman"/>
          <w:sz w:val="24"/>
        </w:rPr>
        <w:t xml:space="preserve"> aralığıyla çalışır; aralık sorgusu zorunludur.</w:t>
      </w:r>
    </w:p>
    <w:p>
      <w:bookmarkStart w:id="2" w:name="_Toc2"/>
      <w:pPr>
        <w:pStyle w:val="Heading2"/>
      </w:pPr>
      <w:r>
        <w:t>3. Erişim Modeli</w:t>
      </w:r>
      <w:bookmarkEnd w:id="2"/>
    </w:p>
    <w:p>
      <w:bookmarkStart w:id="3" w:name="_Toc3"/>
      <w:pPr>
        <w:pStyle w:val="Heading3"/>
      </w:pPr>
      <w:r>
        <w:t>3.1 Kayıt</w:t>
      </w:r>
      <w:bookmarkEnd w:id="3"/>
    </w:p>
    <w:p>
      <w:r>
        <w:rPr>
          <w:rFonts w:ascii="Times New Roman" w:hAnsi="Times New Roman"/>
          <w:sz w:val="24"/>
        </w:rPr>
        <w:t>API erişimi için EPİAŞ Şeffaflık Platformu kayıt formundan üyelik oluşturulur:</w:t>
      </w:r>
    </w:p>
    <w:p>
      <w:pPr>
        <w:pStyle w:val="ListBullet"/>
      </w:pPr>
      <w:r>
        <w:rPr>
          <w:rFonts w:ascii="Times New Roman" w:hAnsi="Times New Roman"/>
          <w:sz w:val="24"/>
        </w:rPr>
        <w:t xml:space="preserve">Kayıt adresi: </w:t>
      </w:r>
      <w:r>
        <w:rPr>
          <w:rFonts w:ascii="Courier New" w:hAnsi="Courier New"/>
          <w:sz w:val="20"/>
        </w:rPr>
        <w:t>https://kayit.epias.com.tr/epias-transparency-platform-registration-form</w:t>
      </w:r>
    </w:p>
    <w:p>
      <w:pPr>
        <w:pStyle w:val="ListBullet"/>
      </w:pPr>
      <w:r>
        <w:rPr>
          <w:rFonts w:ascii="Times New Roman" w:hAnsi="Times New Roman"/>
          <w:sz w:val="24"/>
        </w:rPr>
        <w:t>Formda istenen bilgiler:</w:t>
      </w:r>
    </w:p>
    <w:p>
      <w:pPr>
        <w:pStyle w:val="ListBullet"/>
      </w:pPr>
      <w:r>
        <w:rPr>
          <w:rFonts w:ascii="Times New Roman" w:hAnsi="Times New Roman"/>
          <w:sz w:val="24"/>
        </w:rPr>
        <w:t xml:space="preserve">Kişisel: ad, soyad, </w:t>
      </w:r>
      <w:r>
        <w:rPr>
          <w:rFonts w:ascii="Times New Roman" w:hAnsi="Times New Roman"/>
          <w:b/>
          <w:sz w:val="24"/>
        </w:rPr>
        <w:t>TC kimlik numarası</w:t>
      </w:r>
      <w:r>
        <w:rPr>
          <w:rFonts w:ascii="Times New Roman" w:hAnsi="Times New Roman"/>
          <w:sz w:val="24"/>
        </w:rPr>
        <w:t>, telefon, e-posta, adres</w:t>
      </w:r>
    </w:p>
    <w:p>
      <w:pPr>
        <w:pStyle w:val="ListBullet"/>
      </w:pPr>
      <w:r>
        <w:rPr>
          <w:rFonts w:ascii="Times New Roman" w:hAnsi="Times New Roman"/>
          <w:sz w:val="24"/>
        </w:rPr>
        <w:t>Kurumsal: firma/ünvan bilgileri, vergi dairesi</w:t>
      </w:r>
    </w:p>
    <w:p>
      <w:pPr>
        <w:pStyle w:val="ListBullet"/>
      </w:pPr>
      <w:r>
        <w:rPr>
          <w:rFonts w:ascii="Times New Roman" w:hAnsi="Times New Roman"/>
          <w:sz w:val="24"/>
        </w:rPr>
        <w:t>İsteğe bağlı: lisans bilgileri (lisans no/tarih/tip — birden çok eklenebilir) ve santral bilgileri</w:t>
      </w:r>
    </w:p>
    <w:p>
      <w:pPr>
        <w:pStyle w:val="ListBullet"/>
      </w:pPr>
      <w:r>
        <w:rPr>
          <w:rFonts w:ascii="Times New Roman" w:hAnsi="Times New Roman"/>
          <w:sz w:val="24"/>
        </w:rPr>
        <w:t>Yönetici yetkili bilgileri</w:t>
      </w:r>
    </w:p>
    <w:p>
      <w:pPr>
        <w:pStyle w:val="ListBullet"/>
      </w:pPr>
      <w:r>
        <w:rPr>
          <w:rFonts w:ascii="Times New Roman" w:hAnsi="Times New Roman"/>
          <w:sz w:val="24"/>
        </w:rPr>
        <w:t>Lisans alanları zorunlu değildir; lisansı olmayan kurumlar da kayıt olabilir. Kayıt ücretsizdir.</w:t>
      </w:r>
    </w:p>
    <w:p>
      <w:bookmarkStart w:id="4" w:name="_Toc4"/>
      <w:pPr>
        <w:pStyle w:val="Heading3"/>
      </w:pPr>
      <w:r>
        <w:t>3.2 Giriş ve İstek Doğrulaması (CAS TGT)</w:t>
      </w:r>
      <w:bookmarkEnd w:id="4"/>
    </w:p>
    <w:p>
      <w:r>
        <w:rPr>
          <w:rFonts w:ascii="Times New Roman" w:hAnsi="Times New Roman"/>
          <w:sz w:val="24"/>
        </w:rPr>
        <w:t>Kayıt sonrası her API isteği, giriş sisteminden alınan kısa ömürlü bir anahtar ile yapılır: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Kullanıcı adı (kayıt e-postası) ve şifre ile </w:t>
      </w:r>
      <w:r>
        <w:rPr>
          <w:rFonts w:ascii="Courier New" w:hAnsi="Courier New"/>
          <w:sz w:val="20"/>
        </w:rPr>
        <w:t>POST https://giris.epias.com.tr/cas/v1/tickets</w:t>
      </w:r>
      <w:r>
        <w:rPr>
          <w:rFonts w:ascii="Times New Roman" w:hAnsi="Times New Roman"/>
          <w:sz w:val="24"/>
        </w:rPr>
        <w:t xml:space="preserve"> adresine istek atılır (test ortamı: </w:t>
      </w:r>
      <w:r>
        <w:rPr>
          <w:rFonts w:ascii="Courier New" w:hAnsi="Courier New"/>
          <w:sz w:val="20"/>
        </w:rPr>
        <w:t>https://giris-prp.epias.com.tr</w:t>
      </w:r>
      <w:r>
        <w:rPr>
          <w:rFonts w:ascii="Times New Roman" w:hAnsi="Times New Roman"/>
          <w:sz w:val="24"/>
        </w:rPr>
        <w:t>).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Başarılı cevap (HTTP 201) bir </w:t>
      </w:r>
      <w:r>
        <w:rPr>
          <w:rFonts w:ascii="Times New Roman" w:hAnsi="Times New Roman"/>
          <w:b/>
          <w:sz w:val="24"/>
        </w:rPr>
        <w:t>TGT</w:t>
      </w:r>
      <w:r>
        <w:rPr>
          <w:rFonts w:ascii="Times New Roman" w:hAnsi="Times New Roman"/>
          <w:sz w:val="24"/>
        </w:rPr>
        <w:t xml:space="preserve"> (Ticket Granting Ticket) değeri döner.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Sonraki tüm veri servisi isteklerinde </w:t>
      </w:r>
      <w:r>
        <w:rPr>
          <w:rFonts w:ascii="Courier New" w:hAnsi="Courier New"/>
          <w:sz w:val="20"/>
        </w:rPr>
        <w:t>TGT</w:t>
      </w:r>
      <w:r>
        <w:rPr>
          <w:rFonts w:ascii="Times New Roman" w:hAnsi="Times New Roman"/>
          <w:sz w:val="24"/>
        </w:rPr>
        <w:t xml:space="preserve"> header'ı olarak bu değer gönderilir.</w:t>
      </w:r>
    </w:p>
    <w:p>
      <w:pPr>
        <w:pStyle w:val="ListNumber"/>
      </w:pPr>
      <w:r>
        <w:rPr>
          <w:rFonts w:ascii="Times New Roman" w:hAnsi="Times New Roman"/>
          <w:sz w:val="24"/>
        </w:rPr>
        <w:t xml:space="preserve">TGT'nin ömrü dokümanda </w:t>
      </w:r>
      <w:r>
        <w:rPr>
          <w:rFonts w:ascii="Times New Roman" w:hAnsi="Times New Roman"/>
          <w:b/>
          <w:sz w:val="24"/>
        </w:rPr>
        <w:t>2 saat</w:t>
      </w:r>
      <w:r>
        <w:rPr>
          <w:rFonts w:ascii="Times New Roman" w:hAnsi="Times New Roman"/>
          <w:sz w:val="24"/>
        </w:rPr>
        <w:t xml:space="preserve"> olarak belirtilir (pratikte kullanan topluluk kütüphaneleri 8 saate kadar kullanmaktadır — teyit edilecektir). Süre dolduğunda aynı yöntemle yenisi alınır. Sık TGT üretimi sistem tarafından kısıtlanabildiğinden (throttle), TGT'nin önbelleğe alınıp süresi dolana kadar yeniden kullanılması gerekir.</w:t>
      </w:r>
    </w:p>
    <w:p>
      <w:bookmarkStart w:id="5" w:name="_Toc5"/>
      <w:pPr>
        <w:pStyle w:val="Heading3"/>
      </w:pPr>
      <w:r>
        <w:t>3.3 Canlı Sistem Testi (Ağustos 2026)</w:t>
      </w:r>
      <w:bookmarkEnd w:id="5"/>
    </w:p>
    <w:p>
      <w:pPr>
        <w:pStyle w:val="ListBullet"/>
      </w:pPr>
      <w:r>
        <w:rPr>
          <w:rFonts w:ascii="Times New Roman" w:hAnsi="Times New Roman"/>
          <w:sz w:val="24"/>
        </w:rPr>
        <w:t xml:space="preserve">Anahtarsız (TGT'siz) bir PTF sorgusu canlı ortama gönderildi; sistem isteği </w:t>
      </w:r>
      <w:r>
        <w:rPr>
          <w:rFonts w:ascii="Courier New" w:hAnsi="Courier New"/>
          <w:sz w:val="20"/>
        </w:rPr>
        <w:t>401 AUTH002 — "Kimlik doğrulama bilgisi bulunamadı"</w:t>
      </w:r>
      <w:r>
        <w:rPr>
          <w:rFonts w:ascii="Times New Roman" w:hAnsi="Times New Roman"/>
          <w:sz w:val="24"/>
        </w:rPr>
        <w:t xml:space="preserve"> ile reddetti. </w:t>
      </w:r>
      <w:r>
        <w:rPr>
          <w:rFonts w:ascii="Times New Roman" w:hAnsi="Times New Roman"/>
          <w:b/>
          <w:sz w:val="24"/>
        </w:rPr>
        <w:t>TGT kullanımı zorunludur.</w:t>
      </w:r>
    </w:p>
    <w:p>
      <w:pPr>
        <w:pStyle w:val="ListBullet"/>
      </w:pPr>
      <w:r>
        <w:rPr>
          <w:rFonts w:ascii="Times New Roman" w:hAnsi="Times New Roman"/>
          <w:sz w:val="24"/>
        </w:rPr>
        <w:t xml:space="preserve">Test, geliştirme ortamımızdan (yurt dışı IP) yapıldı ve API'ye erişilebildi — </w:t>
      </w:r>
      <w:r>
        <w:rPr>
          <w:rFonts w:ascii="Times New Roman" w:hAnsi="Times New Roman"/>
          <w:b/>
          <w:sz w:val="24"/>
        </w:rPr>
        <w:t>coğrafi erişim kısıtı yoktur.</w:t>
      </w:r>
      <w:r>
        <w:rPr>
          <w:rFonts w:ascii="Times New Roman" w:hAnsi="Times New Roman"/>
          <w:sz w:val="24"/>
        </w:rPr>
        <w:t xml:space="preserve"> (Kısıt, varsa, giriş bilgileriyle ilişkilidir; IP bazlı ek beyan gerekip gerekmediği açık sorulardandır.)</w:t>
      </w:r>
    </w:p>
    <w:p>
      <w:bookmarkStart w:id="6" w:name="_Toc6"/>
      <w:pPr>
        <w:pStyle w:val="Heading3"/>
      </w:pPr>
      <w:r>
        <w:t>3.4 Ücret</w:t>
      </w:r>
      <w:bookmarkEnd w:id="6"/>
    </w:p>
    <w:p>
      <w:r>
        <w:rPr>
          <w:rFonts w:ascii="Times New Roman" w:hAnsi="Times New Roman"/>
          <w:sz w:val="24"/>
        </w:rPr>
        <w:t>Dokümanda ve platform kaynaklarında ücretli veri/üyelik katmanı bulunmamaktadır. Şeffaflık Platformu verileri düzenleyici şeffaflık yükümlülüğü kapsamında yayımlandığından veri erişimi ücretsizdir. Kayıt formundaki kullanım koşullarının kayıt sırasında teyidi önerilir.</w:t>
      </w:r>
    </w:p>
    <w:p>
      <w:bookmarkStart w:id="7" w:name="_Toc7"/>
      <w:pPr>
        <w:pStyle w:val="Heading2"/>
      </w:pPr>
      <w:r>
        <w:t>4. Piyasa Kavramları (Kısa Sözlük)</w:t>
      </w:r>
      <w:bookmarkEnd w:id="7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Kavram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Anlamı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BESS için önemi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**GÖP** (Gün Öncesi Piyasa)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Ertesi günün her saati için arz-talep eşleşmesiyle fiyatın oluştuğu piyasa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Arbitraj planlamasının temel piyasası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**PTF / MCP** (Piyasa Takas Fiyatı)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GÖP'te oluşan saatlik takas fiyatı (TL/MWh; EUR ve USD karşılığı da yayımlanır)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**Ana sinyal:** ucuz saatlerde şarj, pahalı saatlerde deşarj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K.PTF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PTF'nin kesinleşmemiş (ara) hali; yayın durumu ayrıca sorgulanır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Fiyat bilgisini en erken elde etme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**GİP** (Gün İçi Piyasa)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Teslimat saatine kadar sürekli ticaret yapılan piyasa; ağırlıklı ortalama ve min/maks eşleşme fiyatları yayımlanır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Saat içi pozisyon düzeltme, plan sapmasını kapatma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**DGP** (Dengeleme Güç Piyasası)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Gerçek zamanlı sistem dengesi için talimatların verildiği piyasa: **YAT** (yük atma — sistemde fazla), **YAL** (yük alma — sistemde açık)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BESS hızlı yanıt kabiliyetiyle dengeleme geliri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**SMF** (Sistem Marjinal Fiyatı)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DGP'de net talimat hacmine karşılık gelen fiyat (yayını ~4 saat gecikmelidir)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Dengeleme piyasası fiyat seviyesi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Dengesizlik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Planlanan üretim/tüketimden gerçekleşen sapma; tutar/miktar/maliyet servisleri yayımlanır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Sapma maliyetini izleme ve minimize etme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**AUF** (Azami Uzlaştırma Fiyatı)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Dengesizlik uzlaştırmasında uygulanabilecek tavan fiyat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Uç senaryolarda maruz kalınabilecek maliyet sınırı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**VEP** (Vadeli Elektrik Piyasası)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Forward kontratların işlem gördüğü piyasa; günlük gösterge fiyatı (GGF) yayımlanır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Uzun vadeli fiyat beklentisi ve riskten korunma (hedge)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**EAK** (Emre Amade Kapasite)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Üreticilerin kullanılabilir durumdaki kapasitesi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Arz tarafı yeterliliği göstergesi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KGÜP / KUDÜP / UEVM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Kesinleşmiş üretim planları ve uzlaştırmaya esas veriş miktarları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Üretim tarafı beklentisinin doğrulanması</w:t>
            </w:r>
          </w:p>
        </w:tc>
      </w:tr>
    </w:tbl>
    <w:p/>
    <w:p>
      <w:bookmarkStart w:id="8" w:name="_Toc8"/>
      <w:pPr>
        <w:pStyle w:val="Heading2"/>
      </w:pPr>
      <w:r>
        <w:t>5. İş Senaryosu Eşleme</w:t>
      </w:r>
      <w:bookmarkEnd w:id="8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Senaryo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Kullanılacak veriler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Karar/eylem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1. Gün öncesi arbitraj planlaması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Saatlik PTF + talep tahmini + RES üretim tahmini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Ertesi günün ucuz saatlerine şarj, pahalı saatlerine deşarj programı kurulması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2. Saat içi düzeltme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GİP ağırlıklı ortalama + min/maks eşleşme fiyatları + gerçek zamanlı tüketim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Gün içinde fiyat/plan değişimlerine göre programın revize edilmesi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3. Dengeleme katılımı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YAT/YAL talimat miktarları + SMF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BESS'in dengeleme talimatlarına karşılık vermesi (sistem açıkken deşarj, fazlayken şarj)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4. Sapma izleme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Dengesizlik tutarı/miktarı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Gerçekleşen-yıllık sapma maliyetinin izlenmesi, program sapmalarının raporlanması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5. Varlık yönetimi (patron/saha admin ekranı)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Dashboard özet servisleri + PTF ortalamaları + VEP göstergeleri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Portföyün fiyat karşısındaki durumu: "şu saatte şarj edip en yüksek fiyata satmak" senaryosunun güncel fiyatlarla gösterimi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6. Saha operasyonu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Planlı/plansız kesinti bildirimleri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Bakım ve kesinti dönemlerinin şarj/deşarj programına yansıtılması</w:t>
            </w:r>
          </w:p>
        </w:tc>
      </w:tr>
    </w:tbl>
    <w:p/>
    <w:p>
      <w:bookmarkStart w:id="9" w:name="_Toc9"/>
      <w:pPr>
        <w:pStyle w:val="Heading2"/>
      </w:pPr>
      <w:r>
        <w:t>6. Veri Kataloğu</w:t>
      </w:r>
      <w:bookmarkEnd w:id="9"/>
    </w:p>
    <w:p>
      <w:r>
        <w:rPr>
          <w:rFonts w:ascii="Times New Roman" w:hAnsi="Times New Roman"/>
          <w:sz w:val="24"/>
        </w:rPr>
        <w:t xml:space="preserve">Tablolardaki tüm istekler </w:t>
      </w:r>
      <w:r>
        <w:rPr>
          <w:rFonts w:ascii="Courier New" w:hAnsi="Courier New"/>
          <w:sz w:val="20"/>
        </w:rPr>
        <w:t>https://seffaflik.epias.com.tr/electricity-service</w:t>
      </w:r>
      <w:r>
        <w:rPr>
          <w:rFonts w:ascii="Times New Roman" w:hAnsi="Times New Roman"/>
          <w:sz w:val="24"/>
        </w:rPr>
        <w:t xml:space="preserve"> adresine, ilgili yol ile ve </w:t>
      </w:r>
      <w:r>
        <w:rPr>
          <w:rFonts w:ascii="Courier New" w:hAnsi="Courier New"/>
          <w:sz w:val="20"/>
        </w:rPr>
        <w:t>TGT</w:t>
      </w:r>
      <w:r>
        <w:rPr>
          <w:rFonts w:ascii="Times New Roman" w:hAnsi="Times New Roman"/>
          <w:sz w:val="24"/>
        </w:rPr>
        <w:t xml:space="preserve"> header'ı taşıyarak yapılır. Fiyat/miktar servisleri tarih aralığı (</w:t>
      </w:r>
      <w:r>
        <w:rPr>
          <w:rFonts w:ascii="Courier New" w:hAnsi="Courier New"/>
          <w:sz w:val="20"/>
        </w:rPr>
        <w:t>startDate</w:t>
      </w:r>
      <w:r>
        <w:rPr>
          <w:rFonts w:ascii="Times New Roman" w:hAnsi="Times New Roman"/>
          <w:sz w:val="24"/>
        </w:rPr>
        <w:t>/</w:t>
      </w:r>
      <w:r>
        <w:rPr>
          <w:rFonts w:ascii="Courier New" w:hAnsi="Courier New"/>
          <w:sz w:val="20"/>
        </w:rPr>
        <w:t>endDate</w:t>
      </w:r>
      <w:r>
        <w:rPr>
          <w:rFonts w:ascii="Times New Roman" w:hAnsi="Times New Roman"/>
          <w:sz w:val="24"/>
        </w:rPr>
        <w:t>, TR saati) alır.</w:t>
      </w:r>
    </w:p>
    <w:p>
      <w:bookmarkStart w:id="10" w:name="_Toc10"/>
      <w:pPr>
        <w:pStyle w:val="Heading3"/>
      </w:pPr>
      <w:r>
        <w:t>6.1 Piyasa Fiyatları (öncelikli grup)</w:t>
      </w:r>
      <w:bookmarkEnd w:id="10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İstek noktası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Öngörülen kullanım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Saatlik PTF (TL/MWh + EUR/USD)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/v1/markets/dam/data/mcp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1, 5 — arbitraj planlaması ve fiyat gösterimi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Kesinleşmemiş PTF (K.PTF)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/v1/markets/dam/data/interim-mcp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1 — fiyatın erken elde edilmesi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K.PTF yayın durumu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GET /v1/markets/dam/data/interim-mcp-published-status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1 — verinin kesinleşip kesinleşmediğinin kontrolü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GİP ağırlıklı ortalama fiyat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/v1/markets/idm/data/weighted-average-price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2 — saat içi fiyat seviyesi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GİP min-maks eşleşme fiyatı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/v1/markets/idm/data/min-max-matching-price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2 — saat içi fiyat bandı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GİP min-maks alış/satış teklif fiyatı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/v1/markets/idm/data/min-max-bid-price, POST /v1/markets/idm/data/min-max-sales-offer-price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2 — teklif tarafı likiditesi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SMF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/v1/markets/bpm/data/system-marginal-price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3 — dengeleme fiyatı (~4 saat gecikmeli yayımlanır)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YAT / YAL talimat miktarları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/v1/markets/bpm/data/order-summary-down, POST /v1/markets/bpm/data/order-summary-up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3 — sistem yönü sinyali (~4 saat gecikmeli)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AUF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/v1/markets/data/maximum-settlement-price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4 — sapma tavan fiyatı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Dengesizlik tutarı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/v1/markets/imbalance/data/imbalance-amount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4 — borç/alacak izleme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Dengesizlik maliyeti / miktarı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/v1/renewables/data/imbalance-cost, POST /v1/renewables/data/imbalance-quantity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4 — sapma analizi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VEP kontrat fiyat özetleri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/v1/markets/pfm/data/contract-price-summary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5 — forward fiyat seviyeleri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VEP günlük gösterge fiyatı (GGF)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/v1/markets/pfm/data/ggf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5 — uzun vadeli fiyat göstergesi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Piyasa mesaj sistemi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/v1/markets/data/market-message-system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Tüm senaryolar — piyasa işleyiş duyuruları</w:t>
            </w:r>
          </w:p>
        </w:tc>
      </w:tr>
    </w:tbl>
    <w:p/>
    <w:p>
      <w:bookmarkStart w:id="11" w:name="_Toc11"/>
      <w:pPr>
        <w:pStyle w:val="Heading3"/>
      </w:pPr>
      <w:r>
        <w:t>6.2 Tüketim ve Talep</w:t>
      </w:r>
      <w:bookmarkEnd w:id="11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İstek noktası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Öngörülen kullanım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Gerçek zamanlı tüketim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/v1/consumption/data/realtime-consumption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2, 5 — sistem yükünün anlık takibi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Talep tahmini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/v1/consumption/data/demand-forecast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1, 5 — 2018–2027 arası yıllık brüt talep tahmini (TEAİŞ raporlarından)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Yük tahmin planı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/v1/consumption/data/load-estimation-plan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1 — günlük yük planı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Uzlaştırmaya esas çekiş miktarı (UEÇM)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/v1/consumption/data/uecm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5 — tüketim tarafı uzlaştırma verisi</w:t>
            </w:r>
          </w:p>
        </w:tc>
      </w:tr>
    </w:tbl>
    <w:p/>
    <w:p>
      <w:bookmarkStart w:id="12" w:name="_Toc12"/>
      <w:pPr>
        <w:pStyle w:val="Heading3"/>
      </w:pPr>
      <w:r>
        <w:t>6.3 Üretim</w:t>
      </w:r>
      <w:bookmarkEnd w:id="12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İstek noktası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Öngörülen kullanım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Gerçek zamanlı üretim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/v1/generation/data/realtime-generation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1, 5 — kaynak karışımı (RES payı fiyatı doğrudan etkiler)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Üretim tahmini (YEKDEM)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/v1/renewables/data/generation-forecast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1 — RES üretim beklentisi; fiyat tahminine girdi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Kesinleşmiş günlük üretim planı (KGÜP)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/v1/generation/data/dpp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1 — üretim tarafı planının doğrulanması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Emre amade kapasite (EAK)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/v1/generation/data/aic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5 — arz yeterliliği göstergesi</w:t>
            </w:r>
          </w:p>
        </w:tc>
      </w:tr>
    </w:tbl>
    <w:p/>
    <w:p>
      <w:bookmarkStart w:id="13" w:name="_Toc13"/>
      <w:pPr>
        <w:pStyle w:val="Heading3"/>
      </w:pPr>
      <w:r>
        <w:t>6.4 Kesinti ve İletim</w:t>
      </w:r>
      <w:bookmarkEnd w:id="13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İstek noktası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Öngörülen kullanım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Planlı kesinti bilgileri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/v1/consumption/data/planned-power-outage-info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6 — bakım planlaması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Plansız kesinti bilgileri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/v1/consumption/data/unplanned-power-outage-info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Senaryo 6 — arıza takibi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Hat kapasiteleri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/v1/transmission/data/line-capacities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İsteğe bağlı — kısıt kaynaklı bölgesel fiyat ayrışması sinyali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İletim sistemi kayıp katsayısı (ISKK)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/v1/transmission/data/iskk-list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İsteğe bağlı — maliyet hesabı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Enterkonneksiyon kapasite tahminleri (ay/yıl öncesi)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/v1/transmission/data/tcat-pre-month-forecast, POST /v1/transmission/data/tcat-pre-year-forecast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İsteğe bağlı — ithalat/ihracat kapasite beklentisi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Enterkonneksiyon arıza/bakım bildirimleri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/v1/transmission/data/international-line-events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İsteğe bağlı — sınır hattı durumu</w:t>
            </w:r>
          </w:p>
        </w:tc>
      </w:tr>
    </w:tbl>
    <w:p/>
    <w:p>
      <w:bookmarkStart w:id="14" w:name="_Toc14"/>
      <w:pPr>
        <w:pStyle w:val="Heading3"/>
      </w:pPr>
      <w:r>
        <w:t>6.5 Dashboard Özet Servisleri (patron/saha admin görünümü)</w:t>
      </w:r>
      <w:bookmarkEnd w:id="14"/>
    </w:p>
    <w:p>
      <w:r>
        <w:rPr>
          <w:rFonts w:ascii="Times New Roman" w:hAnsi="Times New Roman"/>
          <w:sz w:val="24"/>
        </w:rPr>
        <w:t>Tek istekte özet kartı dönen, parametresiz servisler: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703"/>
        <w:gridCol w:w="4703"/>
      </w:tblGrid>
      <w:tr>
        <w:tc>
          <w:tcPr>
            <w:tcW w:type="dxa" w:w="4703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</w:t>
            </w:r>
          </w:p>
        </w:tc>
        <w:tc>
          <w:tcPr>
            <w:tcW w:type="dxa" w:w="4703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İstek noktası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Dengeleme piyasası özeti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GET /v1/dashboard/balancing-power-market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GÖP özeti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GET /v1/dashboard/day-ahead-market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GİP özeti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GET /v1/dashboard/intra-day-market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Gerçek zamanlı tüketim / üretim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GET /v1/dashboard/realtime-consumption, GET /v1/dashboard/realtime-generation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Ağırlıklı ortalama fiyat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GET /v1/dashboard/weighted-average-price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Spot gaz piyasası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GET /v1/dashboard/spot-gas-market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Piyasa mesaj sistemi özeti</w:t>
            </w:r>
          </w:p>
        </w:tc>
        <w:tc>
          <w:tcPr>
            <w:tcW w:type="dxa" w:w="47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GET /v1/dashboard/market-message-system</w:t>
            </w:r>
          </w:p>
        </w:tc>
      </w:tr>
    </w:tbl>
    <w:p/>
    <w:p>
      <w:bookmarkStart w:id="15" w:name="_Toc15"/>
      <w:pPr>
        <w:pStyle w:val="Heading3"/>
      </w:pPr>
      <w:r>
        <w:t>6.6 Zorunlu Olmayan, İleride Gerekebilecek Veriler</w:t>
      </w:r>
      <w:bookmarkEnd w:id="15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Veri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İstek noktası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Ne zaman gerekebilir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YEK-G belge/itfa/ihraç verileri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/v1/markets/yek-g/data/... grubu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Yeşil sertifika (YEK-G) ticareti gündeme gelirse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Baraj doluluk/hacim verileri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/v1/dams/data/... grubu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Hidro üretim beklentisiyle fiyat tahmini zenginleştirilirse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PFK/SFK frekans rezerv fiyatları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/v1/markets/... (yan hizmetler grubu)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BESS'in frekans kontrol hizmetlerine katılımı değerlendirilirse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Santral bazlı üretim/listeler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/v1/generation/data/powerplant-list, POST /v1/generation/data/realtime-generation-bulk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Rakip/piyasa üretim takibi gerekirse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VEP teklif fiyatları ve açık pozisyonlar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/v1/markets/pfm/data/offer-price, POST /v1/markets/pfm/data/open-position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VEP üzerinden hedge işlemleri planlanırsa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GDDK tutarı ve sayaç verileri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/v1/markets/gddk/data/... grubu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Dağıtım tarafı dengesizlik kalemleri gerekirse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Sıfır bakiye düzeltme tutarı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/v1/transmission/data/zero-balance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Uzlaştırma detaylarına inilirse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Kapasite talepleri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/v1/transmission/data/capacity-demand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İthalat/ihracat kapasite katılımı gerekirse</w:t>
            </w:r>
          </w:p>
        </w:tc>
      </w:tr>
    </w:tbl>
    <w:p/>
    <w:p>
      <w:bookmarkStart w:id="16" w:name="_Toc16"/>
      <w:pPr>
        <w:pStyle w:val="Heading2"/>
      </w:pPr>
      <w:r>
        <w:t>7. Açık Erişim ve Başvuru Matrisi</w:t>
      </w:r>
      <w:bookmarkEnd w:id="16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Konu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Durum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Gerekli aksiyon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Veri içeriği (tüm fiyat/tahmin/kesinti verileri)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**Açık** — ücret yok, sözleşme yok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Platform web arayüzü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**Açık** — giriş gerektirmez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API erişimi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Kayıt + giriş gerekli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Kayıt formunun doldurulması (ad/soyad/TC/iletişim + kurum bilgileri; lisans isteğe bağlı)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Kimlik doğrulama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**CAS TGT** — 2 saat ömürlü giriş anahtarı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Kullanıcı adı/şifrenin güvenli saklanması, TGT'nin önbelleklenmesi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Ek başvuru / sözleşme / ücretli katman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**Bulunmuyor** (eski "web servis şartnamesi + IP beyanı" modeli kaldırılmış görünüyor)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Kayıt formunun kullanım koşullarında teyit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Kayıt onay süreci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**Netleştirilecek** — formun anında mı yoksa onaylı mı aktifleştiği bilinmiyor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Kayıt sonrası ilk girişte test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IP bazlı kısıt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**Netleştirilecek** — güncel dokümanda IP beyanı yok; eski modelde vardı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Giriş sonrası farklı ağlardan test</w:t>
            </w:r>
          </w:p>
        </w:tc>
      </w:tr>
    </w:tbl>
    <w:p/>
    <w:p>
      <w:bookmarkStart w:id="17" w:name="_Toc17"/>
      <w:pPr>
        <w:pStyle w:val="Heading2"/>
      </w:pPr>
      <w:r>
        <w:t>8. Önerilen İlk Faz Veri Seti</w:t>
      </w:r>
      <w:bookmarkEnd w:id="17"/>
    </w:p>
    <w:p>
      <w:r>
        <w:rPr>
          <w:rFonts w:ascii="Times New Roman" w:hAnsi="Times New Roman"/>
          <w:sz w:val="24"/>
        </w:rPr>
        <w:t>İlk aşamada aşağıdaki serilerin çekilmesi öngörülmektedir (çekim sıklıkları sistem tarafında ayarlanabilir):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Seri</w:t>
            </w:r>
          </w:p>
        </w:tc>
        <w:tc>
          <w:tcPr>
            <w:tcW w:type="dxa" w:w="2351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İstek noktası</w:t>
            </w:r>
          </w:p>
        </w:tc>
        <w:tc>
          <w:tcPr>
            <w:tcW w:type="dxa" w:w="2351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Önerilen çekim sıklığı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Saatlik PTF (TL/EUR/USD)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/v1/markets/dam/data/mcp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Saatlik (gün sonrası fiyat açıklandığında tam gün çekilir)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GİP ağırlıklı ortalama fiyat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/v1/markets/idm/data/weighted-average-price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Saatlik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GİP min-maks eşleşme fiyatı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/v1/markets/idm/data/min-max-matching-price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Saatlik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SMF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/v1/markets/bpm/data/system-marginal-price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4 saatte bir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Dengesizlik tutarı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/v1/markets/imbalance/data/imbalance-amount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Günlük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Talep tahmini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/v1/consumption/data/demand-forecast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Aylık (yıllık veridir)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Gerçek zamanlı tüketim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/v1/consumption/data/realtime-consumption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15 dakikada bir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Planlı + plansız kesintiler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POST /v1/consumption/data/planned-power-outage-info, POST /v1/consumption/data/unplanned-power-outage-info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15 dakikada bir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Dashboard özetleri (GÖP, GİP, ağırlıklı ortalama)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GET /v1/dashboard/day-ahead-market, GET /v1/dashboard/intra-day-market, GET /v1/dashboard/weighted-average-price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Dakika seviyesinde</w:t>
            </w:r>
          </w:p>
        </w:tc>
      </w:tr>
    </w:tbl>
    <w:p/>
    <w:p>
      <w:r>
        <w:rPr>
          <w:rFonts w:ascii="Times New Roman" w:hAnsi="Times New Roman"/>
          <w:sz w:val="24"/>
        </w:rPr>
        <w:t>Çekilen seriler sistemimizde ayrı bir zaman serisi deposuna yazılır; boss web ekranlarında mevcut grafik bileşenleriyle gösterilir. Her seri bağımsız planlanır — bir serideki hata diğerlerini etkilemez.</w:t>
      </w:r>
    </w:p>
    <w:p>
      <w:bookmarkStart w:id="18" w:name="_Toc18"/>
      <w:pPr>
        <w:pStyle w:val="Heading2"/>
      </w:pPr>
      <w:r>
        <w:t>9. Riskler ve Açık Sorular</w:t>
      </w:r>
      <w:bookmarkEnd w:id="18"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Konu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Açıklama</w:t>
            </w:r>
          </w:p>
        </w:tc>
        <w:tc>
          <w:tcPr>
            <w:tcW w:type="dxa" w:w="3135"/>
            <w:shd w:fill="1a3a5c" w:val="clea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Aksiyon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TGT ömrü belirsizliği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Doküman 2 saat diyor; pratikte 8 saate kadar kullanıldığı bildiriliyor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İlk entegrasyonda ölçülerek önbellek süresi sabitlenecek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TGT yenileme kısıtı (throttle)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Sık TGT üretimi engellenebiliyor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Tek TGT önbelleği + süre dolunca yenileme stratejisi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Kayıt onay süreci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Form sonrası hesabın ne zaman aktifleştiği bilinmiyor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Kayıt aşamasında test edilecek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IP kısıtı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Eski modelde IP beyanı vardı; güncel dokümanda yok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Farklı ağlardan test edilecek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Zaman dilimi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Tüm tarihler TR saatidir; eski verilerde DST (+02:00) dönemleri vardır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Saklama öncesi UTC'ye çevrilecek; DST farkı korunacak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SMF/YAT/YAL gecikmesi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Yayın ~4 saat gecikmelidir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Gösterimde "son veri zamanı" etiketi kullanılacak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Yayın saatleri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PTF/K.PTF'nin gün içi açıklanma saati dokümanda yok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Canlı izleme ile öğrenilecek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Kota/rate limit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Dokümanda istek limiti belirtilmemiş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Yük testi ile gözlemlenecek</w:t>
            </w:r>
          </w:p>
        </w:tc>
      </w:tr>
    </w:tbl>
    <w:p/>
    <w:p>
      <w:bookmarkStart w:id="19" w:name="_Toc19"/>
      <w:pPr>
        <w:pStyle w:val="Heading2"/>
      </w:pPr>
      <w:r>
        <w:t>10. Kaynaklar</w:t>
      </w:r>
      <w:bookmarkEnd w:id="19"/>
    </w:p>
    <w:p>
      <w:pPr>
        <w:pStyle w:val="ListBullet"/>
      </w:pPr>
      <w:r>
        <w:rPr>
          <w:rFonts w:ascii="Times New Roman" w:hAnsi="Times New Roman"/>
          <w:sz w:val="24"/>
        </w:rPr>
        <w:t xml:space="preserve">EPİAŞ Şeffaflık Platformu elektrik servisleri teknik dokümanı (584 sayfa): </w:t>
      </w:r>
      <w:r>
        <w:rPr>
          <w:rFonts w:ascii="Courier New" w:hAnsi="Courier New"/>
          <w:sz w:val="20"/>
        </w:rPr>
        <w:t>https://seffaflik.epias.com.tr/electricity-service/technical/tr/index.pdf</w:t>
      </w:r>
    </w:p>
    <w:p>
      <w:pPr>
        <w:pStyle w:val="ListBullet"/>
      </w:pPr>
      <w:r>
        <w:rPr>
          <w:rFonts w:ascii="Times New Roman" w:hAnsi="Times New Roman"/>
          <w:sz w:val="24"/>
        </w:rPr>
        <w:t xml:space="preserve">Kayıt formu: </w:t>
      </w:r>
      <w:r>
        <w:rPr>
          <w:rFonts w:ascii="Courier New" w:hAnsi="Courier New"/>
          <w:sz w:val="20"/>
        </w:rPr>
        <w:t>https://kayit.epias.com.tr/epias-transparency-platform-registration-form</w:t>
      </w:r>
    </w:p>
    <w:p>
      <w:pPr>
        <w:pStyle w:val="ListBullet"/>
      </w:pPr>
      <w:r>
        <w:rPr>
          <w:rFonts w:ascii="Times New Roman" w:hAnsi="Times New Roman"/>
          <w:sz w:val="24"/>
        </w:rPr>
        <w:t xml:space="preserve">Giriş (CAS) — canlı: </w:t>
      </w:r>
      <w:r>
        <w:rPr>
          <w:rFonts w:ascii="Courier New" w:hAnsi="Courier New"/>
          <w:sz w:val="20"/>
        </w:rPr>
        <w:t>https://giris.epias.com.tr</w:t>
      </w:r>
      <w:r>
        <w:rPr>
          <w:rFonts w:ascii="Times New Roman" w:hAnsi="Times New Roman"/>
          <w:sz w:val="24"/>
        </w:rPr>
        <w:t xml:space="preserve"> · test: </w:t>
      </w:r>
      <w:r>
        <w:rPr>
          <w:rFonts w:ascii="Courier New" w:hAnsi="Courier New"/>
          <w:sz w:val="20"/>
        </w:rPr>
        <w:t>https://giris-prp.epias.com.tr</w:t>
      </w:r>
    </w:p>
    <w:sectPr w:rsidR="00FC693F" w:rsidRPr="0006063C" w:rsidSect="00034616">
      <w:head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733288" cy="69861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3288" cy="69861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