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Logistische Regression unterrichten</w:t>
      </w:r>
    </w:p>
    <w:p>
      <w:r>
        <w:t>Unterrichtsmaterial für DQR 5 im Querformat</w:t>
      </w:r>
    </w:p>
    <w:p>
      <w:r>
        <w:t>Die Lernsequenz führt vom zweidimensionalen Punktdiagramm über die explizite und implizite Geradengleichung zur Klassenwahrscheinlichkeit. Die Studierenden verbinden Punktproben mit der Grafik, untersuchen die Übergangsbreite und begründen anschließend den Einstieg in die Regularisierung.</w:t>
      </w:r>
    </w:p>
    <w:p>
      <w:pPr>
        <w:pStyle w:val="Heading1"/>
      </w:pPr>
      <w:r>
        <w:t>Didaktische Einordnung</w:t>
      </w:r>
    </w:p>
    <w:p>
      <w:r>
        <w:t>Der Aufbau ist schlüssig: Jede neue Darstellung knüpft an dieselben Punkte und dieselbe Gerade an. Für DQR 5 stehen grafisches Erkunden, Einsetzen und Taschenrechnerrechnungen im Vordergrund. Abstandsformel, Logarithmen und Regularisierungsformel sind als Vertiefung einsetzbar; Differentialrechnung ist nicht erforderlich.</w:t>
      </w:r>
    </w:p>
    <w:p>
      <w:pPr>
        <w:pStyle w:val="ListBullet"/>
      </w:pPr>
      <w:r>
        <w:t>Die Grenze zunächst als Vorschlag behandeln. Mehrere Geraden können die Beispieldaten trennen. Wie das Modell eine Grenze lernt, wird später behandelt.</w:t>
      </w:r>
    </w:p>
    <w:p>
      <w:pPr>
        <w:pStyle w:val="ListBullet"/>
      </w:pPr>
      <w:r>
        <w:t>Merkmale und Klassen unterscheiden. Die Achsen heißen x₁ und x₂, die Klassen 0 und 1. p bezeichnet stets die vorhergesagte Wahrscheinlichkeit für Klasse 1.</w:t>
      </w:r>
    </w:p>
    <w:p>
      <w:pPr>
        <w:pStyle w:val="ListBullet"/>
      </w:pPr>
      <w:r>
        <w:t>Score und Abstand unterscheiden. z ist ein vorzeichenbehafteter Score. Bei festgehaltenen Gewichten ist er proportional zum senkrechten Abstand.</w:t>
      </w:r>
    </w:p>
    <w:p>
      <w:pPr>
        <w:pStyle w:val="ListBullet"/>
      </w:pPr>
      <w:r>
        <w:t>Wahrscheinlichkeiten zunächst als Vorschau zeigen. Die Zahlen im Diagramm werden danach mit der Sigmoidfunktion berechnet. Aus der Geradengleichung allein folgen sie noch nicht.</w:t>
      </w:r>
    </w:p>
    <w:p>
      <w:pPr>
        <w:pStyle w:val="ListBullet"/>
      </w:pPr>
      <w:r>
        <w:t>Regularisierung konkret motivieren. Eine perfekte Trennung der Trainingsdaten rechtfertigt für sich allein keine nahezu sicheren Vorhersagen für neue Fälle. Bei vollständig trennbaren Daten kann das unregularisierte Training die Gewichte immer weiter vergrößern [1, 2].</w:t>
      </w:r>
    </w:p>
    <w:p>
      <w:r>
        <w:t>Arbeitsgrundlage: Zwei Merkmale mit festgehaltener Skalierung; gleiche Längeneinheiten auf beiden Diagrammachsen. Die vorgeschlagene Grenze lautet x₂ = x₁ + 1. Klasse 1 liegt im Beispiel oberhalb, Klasse 0 unterhalb. Die Entscheidungsschwelle beträgt p = 0,5. Die Diagramme werden schrittweise aufgedeckt.</w:t>
      </w:r>
    </w:p>
    <w:p>
      <w:r>
        <w:br w:type="page"/>
      </w:r>
    </w:p>
    <w:p>
      <w:pPr>
        <w:pStyle w:val="Heading1"/>
      </w:pPr>
      <w:r>
        <w:t>Schritte 1 bis 5 zur Geradengleichung</w:t>
      </w:r>
    </w:p>
    <w:tbl>
      <w:tblPr>
        <w:tblW w:type="auto" w:w="0"/>
        <w:jc w:val="center"/>
        <w:tblLayout w:type="fixed"/>
        <w:tblLook w:firstColumn="1" w:firstRow="1" w:lastColumn="0" w:lastRow="0" w:noHBand="0" w:noVBand="1" w:val="04A0"/>
      </w:tblPr>
      <w:tblGrid>
        <w:gridCol w:w="1474"/>
        <w:gridCol w:w="4309"/>
        <w:gridCol w:w="3061"/>
        <w:gridCol w:w="3288"/>
        <w:gridCol w:w="3005"/>
      </w:tblGrid>
      <w:tr>
        <w:trPr>
          <w:tblHeader/>
          <w:cantSplit/>
        </w:trPr>
        <w:tc>
          <w:tcPr>
            <w:tcW w:type="dxa" w:w="1474"/>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sz w:val="20"/>
              </w:rPr>
              <w:t>Schritt</w:t>
            </w:r>
          </w:p>
        </w:tc>
        <w:tc>
          <w:tcPr>
            <w:tcW w:type="dxa" w:w="4309"/>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Erklärung und grafischer Bezug</w:t>
            </w:r>
          </w:p>
        </w:tc>
        <w:tc>
          <w:tcPr>
            <w:tcW w:type="dxa" w:w="3061"/>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Formeln</w:t>
            </w:r>
          </w:p>
        </w:tc>
        <w:tc>
          <w:tcPr>
            <w:tcW w:type="dxa" w:w="3288"/>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Beispielrechnung</w:t>
            </w:r>
          </w:p>
        </w:tc>
        <w:tc>
          <w:tcPr>
            <w:tcW w:type="dxa" w:w="3005"/>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Übungsaufgabe</w:t>
            </w:r>
          </w:p>
        </w:tc>
      </w:tr>
      <w:tr>
        <w:trPr>
          <w:cantSplit/>
        </w:trPr>
        <w:tc>
          <w:tcPr>
            <w:tcW w:type="dxa" w:w="1474"/>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w:t>
            </w:r>
          </w:p>
          <w:p>
            <w:pPr>
              <w:spacing w:after="60" w:line="240" w:lineRule="auto"/>
              <w:jc w:val="center"/>
            </w:pPr>
            <w:r>
              <w:rPr>
                <w:b w:val="0"/>
                <w:sz w:val="20"/>
              </w:rPr>
              <w:t>Punkte lesen</w:t>
            </w:r>
          </w:p>
        </w:tc>
        <w:tc>
          <w:tcPr>
            <w:tcW w:type="dxa" w:w="430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Diagramm A: Ein Punkt ist ein Fall mit zwei Merkmalen. Farbe und Symbol kennzeichnen die bekannte Klasse.</w:t>
            </w:r>
          </w:p>
        </w:tc>
        <w:tc>
          <w:tcPr>
            <w:tcW w:type="dxa" w:w="3061"/>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P</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x</w:t>
            </w:r>
            <w:r>
              <w:rPr>
                <w:rFonts w:ascii="Cambria" w:hAnsi="Cambria"/>
                <w:b w:val="0"/>
                <w:sz w:val="20"/>
                <w:vertAlign w:val="subscript"/>
              </w:rPr>
              <w:t>1</w:t>
            </w:r>
            <w:r>
              <w:rPr>
                <w:rFonts w:ascii="Cambria" w:hAnsi="Cambria"/>
                <w:b w:val="0"/>
                <w:sz w:val="20"/>
              </w:rPr>
              <w:t>;</w:t>
            </w:r>
            <w:r>
              <w:rPr>
                <w:rFonts w:ascii="Cambria" w:hAnsi="Cambria"/>
                <w:b w:val="0"/>
                <w:sz w:val="20"/>
              </w:rPr>
              <w:t xml:space="preserve"> </w:t>
            </w:r>
            <w:r>
              <w:rPr>
                <w:rFonts w:ascii="Cambria" w:hAnsi="Cambria"/>
                <w:b w:val="0"/>
                <w:sz w:val="20"/>
              </w:rPr>
              <w:t>x</w:t>
            </w:r>
            <w:r>
              <w:rPr>
                <w:rFonts w:ascii="Cambria" w:hAnsi="Cambria"/>
                <w:b w:val="0"/>
                <w:sz w:val="20"/>
                <w:vertAlign w:val="subscript"/>
              </w:rPr>
              <w:t>2</w:t>
            </w:r>
            <w:r>
              <w:rPr>
                <w:rFonts w:ascii="Cambria" w:hAnsi="Cambria"/>
                <w:b w:val="0"/>
                <w:sz w:val="20"/>
              </w:rPr>
              <w:t>)</w:t>
            </w:r>
          </w:p>
        </w:tc>
        <w:tc>
          <w:tcPr>
            <w:tcW w:type="dxa" w:w="3288"/>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(1; 3,5): x₁ = 1 und x₂ = 3,5. Im Beispiel gehört der Punkt zu Klasse 1.</w:t>
            </w:r>
          </w:p>
        </w:tc>
        <w:tc>
          <w:tcPr>
            <w:tcW w:type="dxa" w:w="300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Lies zwei Punkte unterschiedlicher Klassen ab.</w:t>
            </w:r>
          </w:p>
        </w:tc>
      </w:tr>
      <w:tr>
        <w:trPr>
          <w:cantSplit/>
        </w:trPr>
        <w:tc>
          <w:tcPr>
            <w:tcW w:type="dxa" w:w="1474"/>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2</w:t>
            </w:r>
          </w:p>
          <w:p>
            <w:pPr>
              <w:spacing w:after="60" w:line="240" w:lineRule="auto"/>
              <w:jc w:val="center"/>
            </w:pPr>
            <w:r>
              <w:rPr>
                <w:b w:val="0"/>
                <w:sz w:val="20"/>
              </w:rPr>
              <w:t>Grenze vorschlagen</w:t>
            </w:r>
          </w:p>
        </w:tc>
        <w:tc>
          <w:tcPr>
            <w:tcW w:type="dxa" w:w="430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Eine plausible Trennlinie einzeichnen. Q und R sind Hilfspunkte auf der gewählten Geraden, keine notwendigen Datenpunkte. Mehrere Grenzen sind möglich.</w:t>
            </w:r>
          </w:p>
        </w:tc>
        <w:tc>
          <w:tcPr>
            <w:tcW w:type="dxa" w:w="3061"/>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x</w:t>
            </w:r>
            <w:r>
              <w:rPr>
                <w:rFonts w:ascii="Cambria" w:hAnsi="Cambria"/>
                <w:b w:val="0"/>
                <w:sz w:val="20"/>
                <w:vertAlign w:val="sub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m</w:t>
            </w:r>
            <w:r>
              <w:rPr>
                <w:rFonts w:ascii="Cambria" w:hAnsi="Cambria"/>
                <w:b w:val="0"/>
                <w:sz w:val="20"/>
              </w:rPr>
              <w:t xml:space="preserve"> </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c</w:t>
            </w:r>
          </w:p>
        </w:tc>
        <w:tc>
          <w:tcPr>
            <w:tcW w:type="dxa" w:w="3288"/>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Q = (0; 1), R = (2; 3). Bei x₁ = 2 liegt die Grenze bei x₂ = 3.</w:t>
            </w:r>
          </w:p>
        </w:tc>
        <w:tc>
          <w:tcPr>
            <w:tcW w:type="dxa" w:w="300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Zeichne eine zweite Gerade, die die Klassen ebenfalls trennt.</w:t>
            </w:r>
          </w:p>
        </w:tc>
      </w:tr>
      <w:tr>
        <w:trPr>
          <w:cantSplit/>
        </w:trPr>
        <w:tc>
          <w:tcPr>
            <w:tcW w:type="dxa" w:w="1474"/>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3</w:t>
            </w:r>
          </w:p>
          <w:p>
            <w:pPr>
              <w:spacing w:after="60" w:line="240" w:lineRule="auto"/>
              <w:jc w:val="center"/>
            </w:pPr>
            <w:r>
              <w:rPr>
                <w:b w:val="0"/>
                <w:sz w:val="20"/>
              </w:rPr>
              <w:t>Steigung</w:t>
            </w:r>
          </w:p>
        </w:tc>
        <w:tc>
          <w:tcPr>
            <w:tcW w:type="dxa" w:w="430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Diagramm B: Ein Steigungsdreieck zeigt den Anstieg bei einer Bewegung nach rechts.</w:t>
            </w:r>
          </w:p>
        </w:tc>
        <w:tc>
          <w:tcPr>
            <w:tcW w:type="dxa" w:w="3061"/>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m</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Δ</w:t>
            </w:r>
            <w:r>
              <w:rPr>
                <w:rFonts w:ascii="Cambria" w:hAnsi="Cambria"/>
                <w:b w:val="0"/>
                <w:sz w:val="20"/>
              </w:rPr>
              <w:t>x</w:t>
            </w:r>
            <w:r>
              <w:rPr>
                <w:rFonts w:ascii="Cambria" w:hAnsi="Cambria"/>
                <w:b w:val="0"/>
                <w:sz w:val="20"/>
                <w:vertAlign w:val="sub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Δ</w:t>
            </w:r>
            <w:r>
              <w:rPr>
                <w:rFonts w:ascii="Cambria" w:hAnsi="Cambria"/>
                <w:b w:val="0"/>
                <w:sz w:val="20"/>
              </w:rPr>
              <w:t>x</w:t>
            </w:r>
            <w:r>
              <w:rPr>
                <w:rFonts w:ascii="Cambria" w:hAnsi="Cambria"/>
                <w:b w:val="0"/>
                <w:sz w:val="20"/>
                <w:vertAlign w:val="subscript"/>
              </w:rPr>
              <w:t>1</w:t>
            </w:r>
          </w:p>
        </w:tc>
        <w:tc>
          <w:tcPr>
            <w:tcW w:type="dxa" w:w="3288"/>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m = (3 − 1) / (2 − 0) = 1</w:t>
            </w:r>
          </w:p>
        </w:tc>
        <w:tc>
          <w:tcPr>
            <w:tcW w:type="dxa" w:w="300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Berechne die Steigung durch (0; 2) und (2; 6).</w:t>
            </w:r>
          </w:p>
        </w:tc>
      </w:tr>
      <w:tr>
        <w:trPr>
          <w:cantSplit/>
        </w:trPr>
        <w:tc>
          <w:tcPr>
            <w:tcW w:type="dxa" w:w="1474"/>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4</w:t>
            </w:r>
          </w:p>
          <w:p>
            <w:pPr>
              <w:spacing w:after="60" w:line="240" w:lineRule="auto"/>
              <w:jc w:val="center"/>
            </w:pPr>
            <w:r>
              <w:rPr>
                <w:b w:val="0"/>
                <w:sz w:val="20"/>
              </w:rPr>
              <w:t>Explizite Form</w:t>
            </w:r>
          </w:p>
        </w:tc>
        <w:tc>
          <w:tcPr>
            <w:tcW w:type="dxa" w:w="430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Den Achsenabschnitt ablesen oder durch Einsetzen bestimmen. Einen weiteren Punkt überprüfen.</w:t>
            </w:r>
          </w:p>
        </w:tc>
        <w:tc>
          <w:tcPr>
            <w:tcW w:type="dxa" w:w="3061"/>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x</w:t>
            </w:r>
            <w:r>
              <w:rPr>
                <w:rFonts w:ascii="Cambria" w:hAnsi="Cambria"/>
                <w:b w:val="0"/>
                <w:sz w:val="20"/>
                <w:vertAlign w:val="sub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m</w:t>
            </w:r>
            <w:r>
              <w:rPr>
                <w:rFonts w:ascii="Cambria" w:hAnsi="Cambria"/>
                <w:b w:val="0"/>
                <w:sz w:val="20"/>
              </w:rPr>
              <w:t xml:space="preserve"> </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c</w:t>
            </w:r>
          </w:p>
        </w:tc>
        <w:tc>
          <w:tcPr>
            <w:tcW w:type="dxa" w:w="3288"/>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Q = (0; 1) ergibt c = 1.</w:t>
            </w:r>
          </w:p>
          <w:p>
            <w:pPr>
              <w:spacing w:after="60" w:line="240" w:lineRule="auto"/>
            </w:pPr>
            <w:r>
              <w:rPr>
                <w:b w:val="0"/>
                <w:sz w:val="20"/>
              </w:rPr>
              <w:t>Also x₂ = x₁ + 1.</w:t>
            </w:r>
          </w:p>
          <w:p>
            <w:pPr>
              <w:spacing w:after="60" w:line="240" w:lineRule="auto"/>
            </w:pPr>
            <w:r>
              <w:rPr>
                <w:b w:val="0"/>
                <w:sz w:val="20"/>
              </w:rPr>
              <w:t>Für x₁ = 3 folgt x₂ = 4.</w:t>
            </w:r>
          </w:p>
        </w:tc>
        <w:tc>
          <w:tcPr>
            <w:tcW w:type="dxa" w:w="300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Wo schneidet die Gerade die waagerechte Achse?</w:t>
            </w:r>
          </w:p>
        </w:tc>
      </w:tr>
      <w:tr>
        <w:trPr>
          <w:cantSplit/>
        </w:trPr>
        <w:tc>
          <w:tcPr>
            <w:tcW w:type="dxa" w:w="1474"/>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5</w:t>
            </w:r>
          </w:p>
          <w:p>
            <w:pPr>
              <w:spacing w:after="60" w:line="240" w:lineRule="auto"/>
              <w:jc w:val="center"/>
            </w:pPr>
            <w:r>
              <w:rPr>
                <w:b w:val="0"/>
                <w:sz w:val="20"/>
              </w:rPr>
              <w:t>Implizite Form</w:t>
            </w:r>
          </w:p>
        </w:tc>
        <w:tc>
          <w:tcPr>
            <w:tcW w:type="dxa" w:w="430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Alle Terme auf eine Seite bringen. Den Ausdruck auf dieser Seite anschließend als Score z definieren.</w:t>
            </w:r>
          </w:p>
        </w:tc>
        <w:tc>
          <w:tcPr>
            <w:tcW w:type="dxa" w:w="3061"/>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x</w:t>
            </w:r>
            <w:r>
              <w:rPr>
                <w:rFonts w:ascii="Cambria" w:hAnsi="Cambria"/>
                <w:b w:val="0"/>
                <w:sz w:val="20"/>
                <w:vertAlign w:val="sub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0</w:t>
            </w:r>
          </w:p>
          <w:p>
            <w:pPr>
              <w:spacing w:after="60" w:line="240" w:lineRule="auto"/>
            </w:pP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x</w:t>
            </w:r>
            <w:r>
              <w:rPr>
                <w:rFonts w:ascii="Cambria" w:hAnsi="Cambria"/>
                <w:b w:val="0"/>
                <w:sz w:val="20"/>
                <w:vertAlign w:val="sub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p>
          <w:p>
            <w:pPr>
              <w:spacing w:after="60" w:line="240" w:lineRule="auto"/>
            </w:pP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w:t>
            </w:r>
            <w:r>
              <w:rPr>
                <w:rFonts w:ascii="Cambria" w:hAnsi="Cambria"/>
                <w:b w:val="0"/>
                <w:sz w:val="20"/>
                <w:vertAlign w:val="subscript"/>
              </w:rPr>
              <w:t>1</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w:t>
            </w:r>
            <w:r>
              <w:rPr>
                <w:rFonts w:ascii="Cambria" w:hAnsi="Cambria"/>
                <w:b w:val="0"/>
                <w:sz w:val="20"/>
                <w:vertAlign w:val="subscript"/>
              </w:rPr>
              <w:t>2</w:t>
            </w:r>
            <w:r>
              <w:rPr>
                <w:rFonts w:ascii="Cambria" w:hAnsi="Cambria"/>
                <w:b w:val="0"/>
                <w:sz w:val="20"/>
              </w:rPr>
              <w:t>x</w:t>
            </w:r>
            <w:r>
              <w:rPr>
                <w:rFonts w:ascii="Cambria" w:hAnsi="Cambria"/>
                <w:b w:val="0"/>
                <w:sz w:val="20"/>
                <w:vertAlign w:val="sub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b</w:t>
            </w:r>
          </w:p>
        </w:tc>
        <w:tc>
          <w:tcPr>
            <w:tcW w:type="dxa" w:w="3288"/>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w₁ = −1, w₂ = 1, b = −1. Die Grenze wird durch z = 0 beschrieben.</w:t>
            </w:r>
          </w:p>
        </w:tc>
        <w:tc>
          <w:tcPr>
            <w:tcW w:type="dxa" w:w="300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Wandle x₂ = 2x₁ + 3 in eine implizite Gleichung um.</w:t>
            </w:r>
          </w:p>
        </w:tc>
      </w:tr>
    </w:tbl>
    <w:p>
      <w:r>
        <w:t>Zwischenfrage: Was können wir jetzt mit einem beliebigen Punkt machen? Seine Koordinaten einsetzen und prüfen, ob der Ausdruck null ergibt.</w:t>
      </w:r>
    </w:p>
    <w:p>
      <w:r>
        <w:br w:type="page"/>
      </w:r>
    </w:p>
    <w:p>
      <w:pPr>
        <w:pStyle w:val="Heading1"/>
      </w:pPr>
      <w:r>
        <w:t>Diagramme A und B zur Konstruktion der Grenze</w:t>
      </w:r>
    </w:p>
    <w:p>
      <w:r>
        <w:t>Zuerst nur Diagramm A zeigen und mögliche Trennlinien sammeln. Anschließend Diagramm B mit Hilfspunkten und Steigungsdreieck aufdecken.</w:t>
      </w:r>
    </w:p>
    <w:p>
      <w:r>
        <w:drawing>
          <wp:inline xmlns:a="http://schemas.openxmlformats.org/drawingml/2006/main" xmlns:pic="http://schemas.openxmlformats.org/drawingml/2006/picture">
            <wp:extent cx="9540000" cy="4942356"/>
            <wp:docPr id="1" name="Picture 1"/>
            <wp:cNvGraphicFramePr>
              <a:graphicFrameLocks noChangeAspect="1"/>
            </wp:cNvGraphicFramePr>
            <a:graphic>
              <a:graphicData uri="http://schemas.openxmlformats.org/drawingml/2006/picture">
                <pic:pic>
                  <pic:nvPicPr>
                    <pic:cNvPr id="0" name="pair1.png"/>
                    <pic:cNvPicPr/>
                  </pic:nvPicPr>
                  <pic:blipFill>
                    <a:blip r:embed="rId10"/>
                    <a:stretch>
                      <a:fillRect/>
                    </a:stretch>
                  </pic:blipFill>
                  <pic:spPr>
                    <a:xfrm>
                      <a:off x="0" y="0"/>
                      <a:ext cx="9540000" cy="4942356"/>
                    </a:xfrm>
                    <a:prstGeom prst="rect"/>
                  </pic:spPr>
                </pic:pic>
              </a:graphicData>
            </a:graphic>
          </wp:inline>
        </w:drawing>
      </w:r>
    </w:p>
    <w:p>
      <w:pPr>
        <w:pStyle w:val="Caption"/>
      </w:pPr>
      <w:r>
        <w:t>A: Die Klassen sind bekannt. B: Die vorgeschlagene Gerade wird aus Q und R rekonstruiert. Die Konstruktion demonstriert eine mögliche Grenze und ersetzt noch kein Training.</w:t>
      </w:r>
    </w:p>
    <w:p>
      <w:r>
        <w:br w:type="page"/>
      </w:r>
    </w:p>
    <w:p>
      <w:pPr>
        <w:pStyle w:val="Heading1"/>
      </w:pPr>
      <w:r>
        <w:t>Schritte 6 bis 9 zur Bedeutung des Scores</w:t>
      </w:r>
    </w:p>
    <w:tbl>
      <w:tblPr>
        <w:tblW w:type="auto" w:w="0"/>
        <w:jc w:val="center"/>
        <w:tblLayout w:type="fixed"/>
        <w:tblLook w:firstColumn="1" w:firstRow="1" w:lastColumn="0" w:lastRow="0" w:noHBand="0" w:noVBand="1" w:val="04A0"/>
      </w:tblPr>
      <w:tblGrid>
        <w:gridCol w:w="1474"/>
        <w:gridCol w:w="4309"/>
        <w:gridCol w:w="3061"/>
        <w:gridCol w:w="3288"/>
        <w:gridCol w:w="3005"/>
      </w:tblGrid>
      <w:tr>
        <w:trPr>
          <w:tblHeader/>
          <w:cantSplit/>
        </w:trPr>
        <w:tc>
          <w:tcPr>
            <w:tcW w:type="dxa" w:w="1474"/>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sz w:val="20"/>
              </w:rPr>
              <w:t>Schritt</w:t>
            </w:r>
          </w:p>
        </w:tc>
        <w:tc>
          <w:tcPr>
            <w:tcW w:type="dxa" w:w="4309"/>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Erklärung und grafischer Bezug</w:t>
            </w:r>
          </w:p>
        </w:tc>
        <w:tc>
          <w:tcPr>
            <w:tcW w:type="dxa" w:w="3061"/>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Formeln</w:t>
            </w:r>
          </w:p>
        </w:tc>
        <w:tc>
          <w:tcPr>
            <w:tcW w:type="dxa" w:w="3288"/>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Beispielrechnung</w:t>
            </w:r>
          </w:p>
        </w:tc>
        <w:tc>
          <w:tcPr>
            <w:tcW w:type="dxa" w:w="3005"/>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Übungsaufgabe</w:t>
            </w:r>
          </w:p>
        </w:tc>
      </w:tr>
      <w:tr>
        <w:trPr>
          <w:cantSplit/>
        </w:trPr>
        <w:tc>
          <w:tcPr>
            <w:tcW w:type="dxa" w:w="1474"/>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6</w:t>
            </w:r>
          </w:p>
          <w:p>
            <w:pPr>
              <w:spacing w:after="60" w:line="240" w:lineRule="auto"/>
              <w:jc w:val="center"/>
            </w:pPr>
            <w:r>
              <w:rPr>
                <w:b w:val="0"/>
                <w:sz w:val="20"/>
              </w:rPr>
              <w:t>Auf der Grenze</w:t>
            </w:r>
          </w:p>
        </w:tc>
        <w:tc>
          <w:tcPr>
            <w:tcW w:type="dxa" w:w="430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Ein Punkt auf der Grenze erfüllt x₂ = x₁ + 1. Beim Einsetzen heben sich die Terme auf.</w:t>
            </w:r>
          </w:p>
        </w:tc>
        <w:tc>
          <w:tcPr>
            <w:tcW w:type="dxa" w:w="3061"/>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0</w:t>
            </w:r>
          </w:p>
        </w:tc>
        <w:tc>
          <w:tcPr>
            <w:tcW w:type="dxa" w:w="3288"/>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R = (2; 3):</w:t>
            </w:r>
          </w:p>
          <w:p>
            <w:pPr>
              <w:spacing w:after="60" w:line="240" w:lineRule="auto"/>
            </w:pPr>
            <w:r>
              <w:rPr>
                <w:b w:val="0"/>
                <w:sz w:val="20"/>
              </w:rPr>
              <w:t>z = −2 + 3 − 1 = 0.</w:t>
            </w:r>
          </w:p>
        </w:tc>
        <w:tc>
          <w:tcPr>
            <w:tcW w:type="dxa" w:w="300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Zeige, dass (3; 4) auf der Grenze liegt.</w:t>
            </w:r>
          </w:p>
        </w:tc>
      </w:tr>
      <w:tr>
        <w:trPr>
          <w:cantSplit/>
        </w:trPr>
        <w:tc>
          <w:tcPr>
            <w:tcW w:type="dxa" w:w="1474"/>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7</w:t>
            </w:r>
          </w:p>
          <w:p>
            <w:pPr>
              <w:spacing w:after="60" w:line="240" w:lineRule="auto"/>
              <w:jc w:val="center"/>
            </w:pPr>
            <w:r>
              <w:rPr>
                <w:b w:val="0"/>
                <w:sz w:val="20"/>
              </w:rPr>
              <w:t>Beide Seiten</w:t>
            </w:r>
          </w:p>
        </w:tc>
        <w:tc>
          <w:tcPr>
            <w:tcW w:type="dxa" w:w="430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Oberhalb ist x₂ größer als x₁ + 1, unterhalb kleiner. Deshalb entstehen positive und negative Scores.</w:t>
            </w:r>
          </w:p>
        </w:tc>
        <w:tc>
          <w:tcPr>
            <w:tcW w:type="dxa" w:w="3061"/>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x</w:t>
            </w:r>
            <w:r>
              <w:rPr>
                <w:rFonts w:ascii="Cambria" w:hAnsi="Cambria"/>
                <w:b w:val="0"/>
                <w:sz w:val="20"/>
                <w:vertAlign w:val="sub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w:t>
            </w:r>
          </w:p>
        </w:tc>
        <w:tc>
          <w:tcPr>
            <w:tcW w:type="dxa" w:w="3288"/>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(1; 4): z = −1 + 4 − 1 = 2.</w:t>
            </w:r>
          </w:p>
          <w:p>
            <w:pPr>
              <w:spacing w:after="60" w:line="240" w:lineRule="auto"/>
            </w:pPr>
            <w:r>
              <w:rPr>
                <w:b w:val="0"/>
                <w:sz w:val="20"/>
              </w:rPr>
              <w:t>(3; 2): z = −3 + 2 − 1 = −2.</w:t>
            </w:r>
          </w:p>
        </w:tc>
        <w:tc>
          <w:tcPr>
            <w:tcW w:type="dxa" w:w="300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Berechne z für (1; 3) und (3; 3). Ordne die Punkte grafisch ein.</w:t>
            </w:r>
          </w:p>
        </w:tc>
      </w:tr>
      <w:tr>
        <w:trPr>
          <w:cantSplit/>
        </w:trPr>
        <w:tc>
          <w:tcPr>
            <w:tcW w:type="dxa" w:w="1474"/>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8</w:t>
            </w:r>
          </w:p>
          <w:p>
            <w:pPr>
              <w:spacing w:after="60" w:line="240" w:lineRule="auto"/>
              <w:jc w:val="center"/>
            </w:pPr>
            <w:r>
              <w:rPr>
                <w:b w:val="0"/>
                <w:sz w:val="20"/>
              </w:rPr>
              <w:t>Gleiche Scores</w:t>
            </w:r>
          </w:p>
        </w:tc>
        <w:tc>
          <w:tcPr>
            <w:tcW w:type="dxa" w:w="430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Diagramm C: Punkte mit gleichem z liegen auf parallelen Geraden. Eine Bewegung parallel zur Grenze ändert z nicht.</w:t>
            </w:r>
          </w:p>
        </w:tc>
        <w:tc>
          <w:tcPr>
            <w:tcW w:type="dxa" w:w="3061"/>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a</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x</w:t>
            </w:r>
            <w:r>
              <w:rPr>
                <w:rFonts w:ascii="Cambria" w:hAnsi="Cambria"/>
                <w:b w:val="0"/>
                <w:sz w:val="20"/>
                <w:vertAlign w:val="sub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a</w:t>
            </w:r>
          </w:p>
        </w:tc>
        <w:tc>
          <w:tcPr>
            <w:tcW w:type="dxa" w:w="3288"/>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(1; 3) und (2; 4) liefern beide z = 1. Sie liegen auf x₂ = x₁ + 2.</w:t>
            </w:r>
          </w:p>
        </w:tc>
        <w:tc>
          <w:tcPr>
            <w:tcW w:type="dxa" w:w="300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Finde zwei weitere Punkte mit z = −1.</w:t>
            </w:r>
          </w:p>
        </w:tc>
      </w:tr>
      <w:tr>
        <w:trPr>
          <w:cantSplit/>
        </w:trPr>
        <w:tc>
          <w:tcPr>
            <w:tcW w:type="dxa" w:w="1474"/>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9</w:t>
            </w:r>
          </w:p>
          <w:p>
            <w:pPr>
              <w:spacing w:after="60" w:line="240" w:lineRule="auto"/>
              <w:jc w:val="center"/>
            </w:pPr>
            <w:r>
              <w:rPr>
                <w:b w:val="0"/>
                <w:sz w:val="20"/>
              </w:rPr>
              <w:t>Abstand</w:t>
            </w:r>
          </w:p>
        </w:tc>
        <w:tc>
          <w:tcPr>
            <w:tcW w:type="dxa" w:w="430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Die kürzeste Verbindung zur Geraden verläuft senkrecht. Ein vorzeichenbehafteter Abstand d zeigt zusätzlich die Seite. Vertiefung mit Formel.</w:t>
            </w:r>
          </w:p>
        </w:tc>
        <w:tc>
          <w:tcPr>
            <w:tcW w:type="dxa" w:w="3061"/>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d</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w:t>
            </w:r>
            <w:r>
              <w:rPr>
                <w:rFonts w:ascii="Cambria" w:hAnsi="Cambria"/>
                <w:b w:val="0"/>
                <w:sz w:val="20"/>
              </w:rPr>
              <w:t>w</w:t>
            </w:r>
            <w:r>
              <w:rPr>
                <w:rFonts w:ascii="Cambria" w:hAnsi="Cambria"/>
                <w:b w:val="0"/>
                <w:sz w:val="20"/>
                <w:vertAlign w:val="subscript"/>
              </w:rPr>
              <w:t>1</w:t>
            </w:r>
            <w:r>
              <w:rPr>
                <w:rFonts w:ascii="Cambria" w:hAnsi="Cambria"/>
                <w:b w:val="0"/>
                <w:sz w:val="20"/>
                <w:vertAlign w:val="super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w:t>
            </w:r>
            <w:r>
              <w:rPr>
                <w:rFonts w:ascii="Cambria" w:hAnsi="Cambria"/>
                <w:b w:val="0"/>
                <w:sz w:val="20"/>
                <w:vertAlign w:val="subscript"/>
              </w:rPr>
              <w:t>2</w:t>
            </w:r>
            <w:r>
              <w:rPr>
                <w:rFonts w:ascii="Cambria" w:hAnsi="Cambria"/>
                <w:b w:val="0"/>
                <w:sz w:val="20"/>
                <w:vertAlign w:val="superscript"/>
              </w:rPr>
              <w:t>2</w:t>
            </w:r>
            <w:r>
              <w:rPr>
                <w:rFonts w:ascii="Cambria" w:hAnsi="Cambria"/>
                <w:b w:val="0"/>
                <w:sz w:val="20"/>
              </w:rPr>
              <w:t>)</w:t>
            </w:r>
          </w:p>
          <w:p>
            <w:pPr>
              <w:spacing w:after="60" w:line="240" w:lineRule="auto"/>
            </w:pPr>
            <w:r>
              <w:rPr>
                <w:rFonts w:ascii="Cambria" w:hAnsi="Cambria"/>
                <w:b w:val="0"/>
                <w:sz w:val="20"/>
              </w:rPr>
              <w:t>H</w:t>
            </w:r>
            <w:r>
              <w:rPr>
                <w:rFonts w:ascii="Cambria" w:hAnsi="Cambria"/>
                <w:b w:val="0"/>
                <w:sz w:val="20"/>
              </w:rPr>
              <w:t>i</w:t>
            </w:r>
            <w:r>
              <w:rPr>
                <w:rFonts w:ascii="Cambria" w:hAnsi="Cambria"/>
                <w:b w:val="0"/>
                <w:sz w:val="20"/>
              </w:rPr>
              <w:t>e</w:t>
            </w:r>
            <w:r>
              <w:rPr>
                <w:rFonts w:ascii="Cambria" w:hAnsi="Cambria"/>
                <w:b w:val="0"/>
                <w:sz w:val="20"/>
              </w:rPr>
              <w:t>r</w:t>
            </w:r>
            <w:r>
              <w:rPr>
                <w:rFonts w:ascii="Cambria" w:hAnsi="Cambria"/>
                <w:b w:val="0"/>
                <w:sz w:val="20"/>
              </w:rPr>
              <w:t xml:space="preserve"> </w:t>
            </w:r>
            <w:r>
              <w:rPr>
                <w:rFonts w:ascii="Cambria" w:hAnsi="Cambria"/>
                <w:b w:val="0"/>
                <w:sz w:val="20"/>
              </w:rPr>
              <w:t>d</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2</w:t>
            </w:r>
          </w:p>
        </w:tc>
        <w:tc>
          <w:tcPr>
            <w:tcW w:type="dxa" w:w="3288"/>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(1; 4): z = 2.</w:t>
            </w:r>
          </w:p>
          <w:p>
            <w:pPr>
              <w:spacing w:after="60" w:line="240" w:lineRule="auto"/>
            </w:pPr>
            <w:r>
              <w:rPr>
                <w:b w:val="0"/>
                <w:sz w:val="20"/>
              </w:rPr>
              <w:t>d = 2 / √2 ≈ 1,414.</w:t>
            </w:r>
          </w:p>
          <w:p>
            <w:pPr>
              <w:spacing w:after="60" w:line="240" w:lineRule="auto"/>
            </w:pPr>
            <w:r>
              <w:rPr>
                <w:b w:val="0"/>
                <w:sz w:val="20"/>
              </w:rPr>
              <w:t>Der gewöhnliche Abstand ist |d|.</w:t>
            </w:r>
          </w:p>
        </w:tc>
        <w:tc>
          <w:tcPr>
            <w:tcW w:type="dxa" w:w="300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Berechne d für einen Punkt mit z = −1.</w:t>
            </w:r>
          </w:p>
        </w:tc>
      </w:tr>
    </w:tbl>
    <w:p>
      <w:r>
        <w:t>Für die erste Erklärung genügt: Wir messen den kürzesten Weg zur Geraden, also senkrecht zu ihr. Die Formel liefert anschließend die genaue Verbindung.</w:t>
      </w:r>
    </w:p>
    <w:p>
      <w:r>
        <w:t>Besonderheit dieses Beispiels: z ist zugleich der vertikale Unterschied zur Geraden, weil der Koeffizient von x₂ gleich 1 ist. Dieser vertikale Unterschied ist nicht der senkrechte Abstand. Die fünf markierten Punkte in C liegen auf einer senkrechten Messlinie.</w:t>
      </w:r>
    </w:p>
    <w:p>
      <w:r>
        <w:br w:type="page"/>
      </w:r>
    </w:p>
    <w:p>
      <w:pPr>
        <w:pStyle w:val="Heading1"/>
      </w:pPr>
      <w:r>
        <w:t>Diagramme C und D vom Score zur Wahrscheinlichkeit</w:t>
      </w:r>
    </w:p>
    <w:p>
      <w:r>
        <w:t>In C die Scores durch Punktproben bestimmen. D nach Einführung der Sigmoidfunktion zeigen und die berechneten Werte an der Kurve markieren.</w:t>
      </w:r>
    </w:p>
    <w:p>
      <w:r>
        <w:drawing>
          <wp:inline xmlns:a="http://schemas.openxmlformats.org/drawingml/2006/main" xmlns:pic="http://schemas.openxmlformats.org/drawingml/2006/picture">
            <wp:extent cx="9540000" cy="4389110"/>
            <wp:docPr id="2" name="Picture 2"/>
            <wp:cNvGraphicFramePr>
              <a:graphicFrameLocks noChangeAspect="1"/>
            </wp:cNvGraphicFramePr>
            <a:graphic>
              <a:graphicData uri="http://schemas.openxmlformats.org/drawingml/2006/picture">
                <pic:pic>
                  <pic:nvPicPr>
                    <pic:cNvPr id="0" name="pair2.png"/>
                    <pic:cNvPicPr/>
                  </pic:nvPicPr>
                  <pic:blipFill>
                    <a:blip r:embed="rId11"/>
                    <a:stretch>
                      <a:fillRect/>
                    </a:stretch>
                  </pic:blipFill>
                  <pic:spPr>
                    <a:xfrm>
                      <a:off x="0" y="0"/>
                      <a:ext cx="9540000" cy="4389110"/>
                    </a:xfrm>
                    <a:prstGeom prst="rect"/>
                  </pic:spPr>
                </pic:pic>
              </a:graphicData>
            </a:graphic>
          </wp:inline>
        </w:drawing>
      </w:r>
    </w:p>
    <w:p>
      <w:pPr>
        <w:pStyle w:val="Caption"/>
      </w:pPr>
      <w:r>
        <w:t>C: Gestrichelte Geraden verbinden gleiche Scores; die gepunktete Messlinie steht senkrecht auf der Grenze. D: Die Sigmoidfunktion ordnet jedem Score eine Wahrscheinlichkeit für Klasse 1 zu.</w:t>
      </w:r>
    </w:p>
    <w:p>
      <w:r>
        <w:br w:type="page"/>
      </w:r>
    </w:p>
    <w:p>
      <w:pPr>
        <w:pStyle w:val="Heading1"/>
      </w:pPr>
      <w:r>
        <w:t>Schritte 10 bis 13 zur Klassenwahrscheinlichkeit</w:t>
      </w:r>
    </w:p>
    <w:tbl>
      <w:tblPr>
        <w:tblW w:type="auto" w:w="0"/>
        <w:jc w:val="center"/>
        <w:tblLayout w:type="fixed"/>
        <w:tblLook w:firstColumn="1" w:firstRow="1" w:lastColumn="0" w:lastRow="0" w:noHBand="0" w:noVBand="1" w:val="04A0"/>
      </w:tblPr>
      <w:tblGrid>
        <w:gridCol w:w="1474"/>
        <w:gridCol w:w="4309"/>
        <w:gridCol w:w="3061"/>
        <w:gridCol w:w="3288"/>
        <w:gridCol w:w="3005"/>
      </w:tblGrid>
      <w:tr>
        <w:trPr>
          <w:tblHeader/>
          <w:cantSplit/>
        </w:trPr>
        <w:tc>
          <w:tcPr>
            <w:tcW w:type="dxa" w:w="1474"/>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sz w:val="20"/>
              </w:rPr>
              <w:t>Schritt</w:t>
            </w:r>
          </w:p>
        </w:tc>
        <w:tc>
          <w:tcPr>
            <w:tcW w:type="dxa" w:w="4309"/>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Erklärung und grafischer Bezug</w:t>
            </w:r>
          </w:p>
        </w:tc>
        <w:tc>
          <w:tcPr>
            <w:tcW w:type="dxa" w:w="3061"/>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Formeln</w:t>
            </w:r>
          </w:p>
        </w:tc>
        <w:tc>
          <w:tcPr>
            <w:tcW w:type="dxa" w:w="3288"/>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Beispielrechnung</w:t>
            </w:r>
          </w:p>
        </w:tc>
        <w:tc>
          <w:tcPr>
            <w:tcW w:type="dxa" w:w="3005"/>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Übungsaufgabe</w:t>
            </w:r>
          </w:p>
        </w:tc>
      </w:tr>
      <w:tr>
        <w:trPr>
          <w:cantSplit/>
        </w:trPr>
        <w:tc>
          <w:tcPr>
            <w:tcW w:type="dxa" w:w="1474"/>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10</w:t>
            </w:r>
          </w:p>
          <w:p>
            <w:pPr>
              <w:spacing w:after="60" w:line="240" w:lineRule="auto"/>
              <w:jc w:val="center"/>
            </w:pPr>
            <w:r>
              <w:rPr>
                <w:b w:val="0"/>
                <w:sz w:val="20"/>
              </w:rPr>
              <w:t>Vorschau</w:t>
            </w:r>
          </w:p>
        </w:tc>
        <w:tc>
          <w:tcPr>
            <w:tcW w:type="dxa" w:w="430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Diagramm E: Modellwahrscheinlichkeiten an bekannten Punkten zeigen. Fragen, wie aus beliebigen Scores Zahlen zwischen 0 und 1 werden.</w:t>
            </w:r>
          </w:p>
        </w:tc>
        <w:tc>
          <w:tcPr>
            <w:tcW w:type="dxa" w:w="3061"/>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p</w:t>
            </w:r>
            <w:r>
              <w:rPr>
                <w:rFonts w:ascii="Cambria" w:hAnsi="Cambria"/>
                <w:b w:val="0"/>
                <w:sz w:val="20"/>
              </w:rPr>
              <w:t xml:space="preserve"> </w:t>
            </w:r>
            <w:r>
              <w:rPr>
                <w:rFonts w:ascii="Cambria" w:hAnsi="Cambria"/>
                <w:b w:val="0"/>
                <w:sz w:val="20"/>
              </w:rPr>
              <w:t>m</w:t>
            </w:r>
            <w:r>
              <w:rPr>
                <w:rFonts w:ascii="Cambria" w:hAnsi="Cambria"/>
                <w:b w:val="0"/>
                <w:sz w:val="20"/>
              </w:rPr>
              <w:t>i</w:t>
            </w:r>
            <w:r>
              <w:rPr>
                <w:rFonts w:ascii="Cambria" w:hAnsi="Cambria"/>
                <w:b w:val="0"/>
                <w:sz w:val="20"/>
              </w:rPr>
              <w:t>t</w:t>
            </w:r>
            <w:r>
              <w:rPr>
                <w:rFonts w:ascii="Cambria" w:hAnsi="Cambria"/>
                <w:b w:val="0"/>
                <w:sz w:val="20"/>
              </w:rPr>
              <w:t xml:space="preserve"> </w:t>
            </w:r>
            <w:r>
              <w:rPr>
                <w:rFonts w:ascii="Cambria" w:hAnsi="Cambria"/>
                <w:b w:val="0"/>
                <w:sz w:val="20"/>
              </w:rPr>
              <w:t>0</w:t>
            </w:r>
            <w:r>
              <w:rPr>
                <w:rFonts w:ascii="Cambria" w:hAnsi="Cambria"/>
                <w:b w:val="0"/>
                <w:sz w:val="20"/>
              </w:rPr>
              <w:t xml:space="preserve"> </w:t>
            </w:r>
            <w:r>
              <w:rPr>
                <w:rFonts w:ascii="Cambria" w:hAnsi="Cambria"/>
                <w:b w:val="0"/>
                <w:sz w:val="20"/>
              </w:rPr>
              <w:t>&lt;</w:t>
            </w:r>
            <w:r>
              <w:rPr>
                <w:rFonts w:ascii="Cambria" w:hAnsi="Cambria"/>
                <w:b w:val="0"/>
                <w:sz w:val="20"/>
              </w:rPr>
              <w:t xml:space="preserve"> </w:t>
            </w:r>
            <w:r>
              <w:rPr>
                <w:rFonts w:ascii="Cambria" w:hAnsi="Cambria"/>
                <w:b w:val="0"/>
                <w:sz w:val="20"/>
              </w:rPr>
              <w:t>p</w:t>
            </w:r>
            <w:r>
              <w:rPr>
                <w:rFonts w:ascii="Cambria" w:hAnsi="Cambria"/>
                <w:b w:val="0"/>
                <w:sz w:val="20"/>
              </w:rPr>
              <w:t xml:space="preserve"> </w:t>
            </w:r>
            <w:r>
              <w:rPr>
                <w:rFonts w:ascii="Cambria" w:hAnsi="Cambria"/>
                <w:b w:val="0"/>
                <w:sz w:val="20"/>
              </w:rPr>
              <w:t>&lt;</w:t>
            </w:r>
            <w:r>
              <w:rPr>
                <w:rFonts w:ascii="Cambria" w:hAnsi="Cambria"/>
                <w:b w:val="0"/>
                <w:sz w:val="20"/>
              </w:rPr>
              <w:t xml:space="preserve"> </w:t>
            </w:r>
            <w:r>
              <w:rPr>
                <w:rFonts w:ascii="Cambria" w:hAnsi="Cambria"/>
                <w:b w:val="0"/>
                <w:sz w:val="20"/>
              </w:rPr>
              <w:t>1</w:t>
            </w:r>
          </w:p>
        </w:tc>
        <w:tc>
          <w:tcPr>
            <w:tcW w:type="dxa" w:w="3288"/>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Vorschau: Für z = 1 beträgt die Modellwahrscheinlichkeit ungefähr 73,1 %.</w:t>
            </w:r>
          </w:p>
        </w:tc>
        <w:tc>
          <w:tcPr>
            <w:tcW w:type="dxa" w:w="300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Warum kann p = z nicht allgemein gelten? Prüfe z = −2 und z = 2.</w:t>
            </w:r>
          </w:p>
        </w:tc>
      </w:tr>
      <w:tr>
        <w:trPr>
          <w:cantSplit/>
        </w:trPr>
        <w:tc>
          <w:tcPr>
            <w:tcW w:type="dxa" w:w="1474"/>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11</w:t>
            </w:r>
          </w:p>
          <w:p>
            <w:pPr>
              <w:spacing w:after="60" w:line="240" w:lineRule="auto"/>
              <w:jc w:val="center"/>
            </w:pPr>
            <w:r>
              <w:rPr>
                <w:b w:val="0"/>
                <w:sz w:val="20"/>
              </w:rPr>
              <w:t>Sigmoid</w:t>
            </w:r>
          </w:p>
        </w:tc>
        <w:tc>
          <w:tcPr>
            <w:tcW w:type="dxa" w:w="430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Diagramm D: Die logistische Regression verwendet die Sigmoidfunktion. Vorschauwerte berechnen und ins 2D-Diagramm übertragen.</w:t>
            </w:r>
          </w:p>
        </w:tc>
        <w:tc>
          <w:tcPr>
            <w:tcW w:type="dxa" w:w="3061"/>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p</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σ</w:t>
            </w:r>
            <w:r>
              <w:rPr>
                <w:rFonts w:ascii="Cambria" w:hAnsi="Cambria"/>
                <w:b w:val="0"/>
                <w:sz w:val="20"/>
              </w:rPr>
              <w:t>(</w:t>
            </w:r>
            <w:r>
              <w:rPr>
                <w:rFonts w:ascii="Cambria" w:hAnsi="Cambria"/>
                <w:b w:val="0"/>
                <w:sz w:val="20"/>
              </w:rPr>
              <w:t>z</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e</w:t>
            </w:r>
            <w:r>
              <w:rPr>
                <w:rFonts w:ascii="Cambria" w:hAnsi="Cambria"/>
                <w:b w:val="0"/>
                <w:sz w:val="20"/>
                <w:vertAlign w:val="superscript"/>
              </w:rPr>
              <w:t>−</w:t>
            </w:r>
            <w:r>
              <w:rPr>
                <w:rFonts w:ascii="Cambria" w:hAnsi="Cambria"/>
                <w:b w:val="0"/>
                <w:sz w:val="20"/>
                <w:vertAlign w:val="superscript"/>
              </w:rPr>
              <w:t>z</w:t>
            </w:r>
            <w:r>
              <w:rPr>
                <w:rFonts w:ascii="Cambria" w:hAnsi="Cambria"/>
                <w:b w:val="0"/>
                <w:sz w:val="20"/>
              </w:rPr>
              <w:t>)</w:t>
            </w:r>
          </w:p>
        </w:tc>
        <w:tc>
          <w:tcPr>
            <w:tcW w:type="dxa" w:w="3288"/>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z = 1: p = 1 / (1 + e⁻¹)</w:t>
            </w:r>
          </w:p>
          <w:p>
            <w:pPr>
              <w:spacing w:after="60" w:line="240" w:lineRule="auto"/>
            </w:pPr>
            <w:r>
              <w:rPr>
                <w:b w:val="0"/>
                <w:sz w:val="20"/>
              </w:rPr>
              <w:t>≈ 1 / (1 + 0,3679)</w:t>
            </w:r>
          </w:p>
          <w:p>
            <w:pPr>
              <w:spacing w:after="60" w:line="240" w:lineRule="auto"/>
            </w:pPr>
            <w:r>
              <w:rPr>
                <w:b w:val="0"/>
                <w:sz w:val="20"/>
              </w:rPr>
              <w:t>≈ 0,7311 = 73,11 %.</w:t>
            </w:r>
          </w:p>
        </w:tc>
        <w:tc>
          <w:tcPr>
            <w:tcW w:type="dxa" w:w="300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Berechne p für z = −1 und z = 2.</w:t>
            </w:r>
          </w:p>
        </w:tc>
      </w:tr>
      <w:tr>
        <w:trPr>
          <w:cantSplit/>
        </w:trPr>
        <w:tc>
          <w:tcPr>
            <w:tcW w:type="dxa" w:w="1474"/>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12</w:t>
            </w:r>
          </w:p>
          <w:p>
            <w:pPr>
              <w:spacing w:after="60" w:line="240" w:lineRule="auto"/>
              <w:jc w:val="center"/>
            </w:pPr>
            <w:r>
              <w:rPr>
                <w:b w:val="0"/>
                <w:sz w:val="20"/>
              </w:rPr>
              <w:t>Grenze prüfen</w:t>
            </w:r>
          </w:p>
        </w:tc>
        <w:tc>
          <w:tcPr>
            <w:tcW w:type="dxa" w:w="430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Auf der Grenze sind beide Klassen nach dem Modell gleich wahrscheinlich. Die Schwelle p = 0,5 entspricht z = 0.</w:t>
            </w:r>
          </w:p>
        </w:tc>
        <w:tc>
          <w:tcPr>
            <w:tcW w:type="dxa" w:w="3061"/>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σ</w:t>
            </w:r>
            <w:r>
              <w:rPr>
                <w:rFonts w:ascii="Cambria" w:hAnsi="Cambria"/>
                <w:b w:val="0"/>
                <w:sz w:val="20"/>
              </w:rPr>
              <w:t>(</w:t>
            </w:r>
            <w:r>
              <w:rPr>
                <w:rFonts w:ascii="Cambria" w:hAnsi="Cambria"/>
                <w:b w:val="0"/>
                <w:sz w:val="20"/>
              </w:rPr>
              <w:t>0</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0</w:t>
            </w:r>
            <w:r>
              <w:rPr>
                <w:rFonts w:ascii="Cambria" w:hAnsi="Cambria"/>
                <w:b w:val="0"/>
                <w:sz w:val="20"/>
              </w:rPr>
              <w:t>,</w:t>
            </w:r>
            <w:r>
              <w:rPr>
                <w:rFonts w:ascii="Cambria" w:hAnsi="Cambria"/>
                <w:b w:val="0"/>
                <w:sz w:val="20"/>
              </w:rPr>
              <w:t>5</w:t>
            </w:r>
          </w:p>
          <w:p>
            <w:pPr>
              <w:spacing w:after="60" w:line="240" w:lineRule="auto"/>
            </w:pPr>
            <w:r>
              <w:rPr>
                <w:rFonts w:ascii="Cambria" w:hAnsi="Cambria"/>
                <w:b w:val="0"/>
                <w:sz w:val="20"/>
              </w:rPr>
              <w:t>σ</w:t>
            </w:r>
            <w:r>
              <w:rPr>
                <w:rFonts w:ascii="Cambria" w:hAnsi="Cambria"/>
                <w:b w:val="0"/>
                <w:sz w:val="20"/>
              </w:rPr>
              <w:t>(</w:t>
            </w:r>
            <w:r>
              <w:rPr>
                <w:rFonts w:ascii="Cambria" w:hAnsi="Cambria"/>
                <w:b w:val="0"/>
                <w:sz w:val="20"/>
              </w:rPr>
              <w:t>z</w:t>
            </w:r>
            <w:r>
              <w:rPr>
                <w:rFonts w:ascii="Cambria" w:hAnsi="Cambria"/>
                <w:b w:val="0"/>
                <w:sz w:val="20"/>
              </w:rPr>
              <w:t>)</w:t>
            </w:r>
            <w:r>
              <w:rPr>
                <w:rFonts w:ascii="Cambria" w:hAnsi="Cambria"/>
                <w:b w:val="0"/>
                <w:sz w:val="20"/>
              </w:rPr>
              <w:t xml:space="preserve"> </w:t>
            </w:r>
            <w:r>
              <w:rPr>
                <w:rFonts w:ascii="Cambria" w:hAnsi="Cambria"/>
                <w:b w:val="0"/>
                <w:sz w:val="20"/>
              </w:rPr>
              <w:t>&gt;</w:t>
            </w:r>
            <w:r>
              <w:rPr>
                <w:rFonts w:ascii="Cambria" w:hAnsi="Cambria"/>
                <w:b w:val="0"/>
                <w:sz w:val="20"/>
              </w:rPr>
              <w:t xml:space="preserve"> </w:t>
            </w:r>
            <w:r>
              <w:rPr>
                <w:rFonts w:ascii="Cambria" w:hAnsi="Cambria"/>
                <w:b w:val="0"/>
                <w:sz w:val="20"/>
              </w:rPr>
              <w:t>0</w:t>
            </w:r>
            <w:r>
              <w:rPr>
                <w:rFonts w:ascii="Cambria" w:hAnsi="Cambria"/>
                <w:b w:val="0"/>
                <w:sz w:val="20"/>
              </w:rPr>
              <w:t>,</w:t>
            </w:r>
            <w:r>
              <w:rPr>
                <w:rFonts w:ascii="Cambria" w:hAnsi="Cambria"/>
                <w:b w:val="0"/>
                <w:sz w:val="20"/>
              </w:rPr>
              <w:t>5</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z</w:t>
            </w:r>
            <w:r>
              <w:rPr>
                <w:rFonts w:ascii="Cambria" w:hAnsi="Cambria"/>
                <w:b w:val="0"/>
                <w:sz w:val="20"/>
              </w:rPr>
              <w:t xml:space="preserve"> </w:t>
            </w:r>
            <w:r>
              <w:rPr>
                <w:rFonts w:ascii="Cambria" w:hAnsi="Cambria"/>
                <w:b w:val="0"/>
                <w:sz w:val="20"/>
              </w:rPr>
              <w:t>&gt;</w:t>
            </w:r>
            <w:r>
              <w:rPr>
                <w:rFonts w:ascii="Cambria" w:hAnsi="Cambria"/>
                <w:b w:val="0"/>
                <w:sz w:val="20"/>
              </w:rPr>
              <w:t xml:space="preserve"> </w:t>
            </w:r>
            <w:r>
              <w:rPr>
                <w:rFonts w:ascii="Cambria" w:hAnsi="Cambria"/>
                <w:b w:val="0"/>
                <w:sz w:val="20"/>
              </w:rPr>
              <w:t>0</w:t>
            </w:r>
          </w:p>
        </w:tc>
        <w:tc>
          <w:tcPr>
            <w:tcW w:type="dxa" w:w="3288"/>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(2; 3): z = 0 ⇒ p = 50 %.</w:t>
            </w:r>
          </w:p>
          <w:p>
            <w:pPr>
              <w:spacing w:after="60" w:line="240" w:lineRule="auto"/>
            </w:pPr>
            <w:r>
              <w:rPr>
                <w:b w:val="0"/>
                <w:sz w:val="20"/>
              </w:rPr>
              <w:t>(1,5; 3,5): z = 1 ⇒ p ≈ 73,1 %.</w:t>
            </w:r>
          </w:p>
        </w:tc>
        <w:tc>
          <w:tcPr>
            <w:tcW w:type="dxa" w:w="300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Welche Wahrscheinlichkeit für Klasse 0 gehört zu p = 73,1 % für Klasse 1?</w:t>
            </w:r>
          </w:p>
        </w:tc>
      </w:tr>
      <w:tr>
        <w:trPr>
          <w:cantSplit/>
        </w:trPr>
        <w:tc>
          <w:tcPr>
            <w:tcW w:type="dxa" w:w="1474"/>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13</w:t>
            </w:r>
          </w:p>
          <w:p>
            <w:pPr>
              <w:spacing w:after="60" w:line="240" w:lineRule="auto"/>
              <w:jc w:val="center"/>
            </w:pPr>
            <w:r>
              <w:rPr>
                <w:b w:val="0"/>
                <w:sz w:val="20"/>
              </w:rPr>
              <w:t>Skalieren</w:t>
            </w:r>
          </w:p>
        </w:tc>
        <w:tc>
          <w:tcPr>
            <w:tcW w:type="dxa" w:w="430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Gewichte und Bias mit demselben positiven Faktor k multiplizieren. Die Grenze bleibt gleich, die Wahrscheinlichkeiten außerhalb verändern sich. Diagramm F.</w:t>
            </w:r>
          </w:p>
        </w:tc>
        <w:tc>
          <w:tcPr>
            <w:tcW w:type="dxa" w:w="3061"/>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z</w:t>
            </w:r>
            <w:r>
              <w:rPr>
                <w:rFonts w:ascii="Cambria" w:hAnsi="Cambria"/>
                <w:b w:val="0"/>
                <w:sz w:val="20"/>
                <w:vertAlign w:val="subscript"/>
              </w:rPr>
              <w:t>k</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k</w:t>
            </w:r>
            <w:r>
              <w:rPr>
                <w:rFonts w:ascii="Cambria" w:hAnsi="Cambria"/>
                <w:b w:val="0"/>
                <w:sz w:val="20"/>
              </w:rPr>
              <w:t>(</w:t>
            </w:r>
            <w:r>
              <w:rPr>
                <w:rFonts w:ascii="Cambria" w:hAnsi="Cambria"/>
                <w:b w:val="0"/>
                <w:sz w:val="20"/>
              </w:rPr>
              <w:t>−</w:t>
            </w:r>
            <w:r>
              <w:rPr>
                <w:rFonts w:ascii="Cambria" w:hAnsi="Cambria"/>
                <w:b w:val="0"/>
                <w:sz w:val="20"/>
              </w:rPr>
              <w:t>x</w:t>
            </w:r>
            <w:r>
              <w:rPr>
                <w:rFonts w:ascii="Cambria" w:hAnsi="Cambria"/>
                <w:b w:val="0"/>
                <w:sz w:val="20"/>
                <w:vertAlign w:val="subscript"/>
              </w:rPr>
              <w:t>1</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x</w:t>
            </w:r>
            <w:r>
              <w:rPr>
                <w:rFonts w:ascii="Cambria" w:hAnsi="Cambria"/>
                <w:b w:val="0"/>
                <w:sz w:val="20"/>
                <w:vertAlign w:val="sub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w:t>
            </w:r>
          </w:p>
          <w:p>
            <w:pPr>
              <w:spacing w:after="60" w:line="240" w:lineRule="auto"/>
            </w:pPr>
            <w:r>
              <w:rPr>
                <w:rFonts w:ascii="Cambria" w:hAnsi="Cambria"/>
                <w:b w:val="0"/>
                <w:sz w:val="20"/>
              </w:rPr>
              <w:t>p</w:t>
            </w:r>
            <w:r>
              <w:rPr>
                <w:rFonts w:ascii="Cambria" w:hAnsi="Cambria"/>
                <w:b w:val="0"/>
                <w:sz w:val="20"/>
                <w:vertAlign w:val="subscript"/>
              </w:rPr>
              <w:t>k</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σ</w:t>
            </w:r>
            <w:r>
              <w:rPr>
                <w:rFonts w:ascii="Cambria" w:hAnsi="Cambria"/>
                <w:b w:val="0"/>
                <w:sz w:val="20"/>
              </w:rPr>
              <w:t>(</w:t>
            </w:r>
            <w:r>
              <w:rPr>
                <w:rFonts w:ascii="Cambria" w:hAnsi="Cambria"/>
                <w:b w:val="0"/>
                <w:sz w:val="20"/>
              </w:rPr>
              <w:t>z</w:t>
            </w:r>
            <w:r>
              <w:rPr>
                <w:rFonts w:ascii="Cambria" w:hAnsi="Cambria"/>
                <w:b w:val="0"/>
                <w:sz w:val="20"/>
                <w:vertAlign w:val="subscript"/>
              </w:rPr>
              <w:t>k</w:t>
            </w:r>
            <w:r>
              <w:rPr>
                <w:rFonts w:ascii="Cambria" w:hAnsi="Cambria"/>
                <w:b w:val="0"/>
                <w:sz w:val="20"/>
              </w:rPr>
              <w:t>)</w:t>
            </w:r>
          </w:p>
          <w:p>
            <w:pPr>
              <w:spacing w:after="60" w:line="240" w:lineRule="auto"/>
            </w:pPr>
            <w:r>
              <w:rPr>
                <w:rFonts w:ascii="Cambria" w:hAnsi="Cambria"/>
                <w:b w:val="0"/>
                <w:sz w:val="20"/>
              </w:rPr>
              <w:t>k</w:t>
            </w:r>
            <w:r>
              <w:rPr>
                <w:rFonts w:ascii="Cambria" w:hAnsi="Cambria"/>
                <w:b w:val="0"/>
                <w:sz w:val="20"/>
              </w:rPr>
              <w:t xml:space="preserve"> </w:t>
            </w:r>
            <w:r>
              <w:rPr>
                <w:rFonts w:ascii="Cambria" w:hAnsi="Cambria"/>
                <w:b w:val="0"/>
                <w:sz w:val="20"/>
              </w:rPr>
              <w:t>&gt;</w:t>
            </w:r>
            <w:r>
              <w:rPr>
                <w:rFonts w:ascii="Cambria" w:hAnsi="Cambria"/>
                <w:b w:val="0"/>
                <w:sz w:val="20"/>
              </w:rPr>
              <w:t xml:space="preserve"> </w:t>
            </w:r>
            <w:r>
              <w:rPr>
                <w:rFonts w:ascii="Cambria" w:hAnsi="Cambria"/>
                <w:b w:val="0"/>
                <w:sz w:val="20"/>
              </w:rPr>
              <w:t>0</w:t>
            </w:r>
            <w:r>
              <w:rPr>
                <w:rFonts w:ascii="Cambria" w:hAnsi="Cambria"/>
                <w:b w:val="0"/>
                <w:sz w:val="20"/>
              </w:rPr>
              <w:t>:</w:t>
            </w:r>
            <w:r>
              <w:rPr>
                <w:rFonts w:ascii="Cambria" w:hAnsi="Cambria"/>
                <w:b w:val="0"/>
                <w:sz w:val="20"/>
              </w:rPr>
              <w:t xml:space="preserve"> </w:t>
            </w:r>
            <w:r>
              <w:rPr>
                <w:rFonts w:ascii="Cambria" w:hAnsi="Cambria"/>
                <w:b w:val="0"/>
                <w:sz w:val="20"/>
              </w:rPr>
              <w:t>z</w:t>
            </w:r>
            <w:r>
              <w:rPr>
                <w:rFonts w:ascii="Cambria" w:hAnsi="Cambria"/>
                <w:b w:val="0"/>
                <w:sz w:val="20"/>
                <w:vertAlign w:val="subscript"/>
              </w:rPr>
              <w:t>k</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0</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0</w:t>
            </w:r>
          </w:p>
        </w:tc>
        <w:tc>
          <w:tcPr>
            <w:tcW w:type="dxa" w:w="3288"/>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Ursprünglich z = 1:</w:t>
            </w:r>
          </w:p>
          <w:p>
            <w:pPr>
              <w:spacing w:after="60" w:line="240" w:lineRule="auto"/>
            </w:pPr>
            <w:r>
              <w:rPr>
                <w:b w:val="0"/>
                <w:sz w:val="20"/>
              </w:rPr>
              <w:t>k = 0,5 ⇒ p ≈ 62,2 %;</w:t>
            </w:r>
          </w:p>
          <w:p>
            <w:pPr>
              <w:spacing w:after="60" w:line="240" w:lineRule="auto"/>
            </w:pPr>
            <w:r>
              <w:rPr>
                <w:b w:val="0"/>
                <w:sz w:val="20"/>
              </w:rPr>
              <w:t>k = 1 ⇒ p ≈ 73,1 %;</w:t>
            </w:r>
          </w:p>
          <w:p>
            <w:pPr>
              <w:spacing w:after="60" w:line="240" w:lineRule="auto"/>
            </w:pPr>
            <w:r>
              <w:rPr>
                <w:b w:val="0"/>
                <w:sz w:val="20"/>
              </w:rPr>
              <w:t>k = 3 ⇒ p ≈ 95,3 %.</w:t>
            </w:r>
          </w:p>
        </w:tc>
        <w:tc>
          <w:tcPr>
            <w:tcW w:type="dxa" w:w="300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Berechne die drei Werte für einen Punkt mit ursprünglich z = −1.</w:t>
            </w:r>
          </w:p>
        </w:tc>
      </w:tr>
    </w:tbl>
    <w:p>
      <w:r>
        <w:t>An der Grenze bevorzugt das Modell keine der beiden Klassen. Eine Software kann für den Gleichstand eine Zuordnungsregel festlegen. Diese Regel verändert die Wahrscheinlichkeit von 50 % nicht.</w:t>
      </w:r>
    </w:p>
    <w:p>
      <w:r>
        <w:br w:type="page"/>
      </w:r>
    </w:p>
    <w:p>
      <w:pPr>
        <w:pStyle w:val="Heading1"/>
      </w:pPr>
      <w:r>
        <w:t>Diagramme E und F zum Wahrscheinlichkeitsübergang</w:t>
      </w:r>
    </w:p>
    <w:p>
      <w:r>
        <w:t>E zunächst als Vorschau, danach als rechnerisch überprüfte Darstellung nutzen. In F bleibt der geometrische Abstand d die gemeinsame waagerechte Achse.</w:t>
      </w:r>
    </w:p>
    <w:p>
      <w:r>
        <w:drawing>
          <wp:inline xmlns:a="http://schemas.openxmlformats.org/drawingml/2006/main" xmlns:pic="http://schemas.openxmlformats.org/drawingml/2006/picture">
            <wp:extent cx="9540000" cy="4414619"/>
            <wp:docPr id="3" name="Picture 3"/>
            <wp:cNvGraphicFramePr>
              <a:graphicFrameLocks noChangeAspect="1"/>
            </wp:cNvGraphicFramePr>
            <a:graphic>
              <a:graphicData uri="http://schemas.openxmlformats.org/drawingml/2006/picture">
                <pic:pic>
                  <pic:nvPicPr>
                    <pic:cNvPr id="0" name="pair3.png"/>
                    <pic:cNvPicPr/>
                  </pic:nvPicPr>
                  <pic:blipFill>
                    <a:blip r:embed="rId12"/>
                    <a:stretch>
                      <a:fillRect/>
                    </a:stretch>
                  </pic:blipFill>
                  <pic:spPr>
                    <a:xfrm>
                      <a:off x="0" y="0"/>
                      <a:ext cx="9540000" cy="4414619"/>
                    </a:xfrm>
                    <a:prstGeom prst="rect"/>
                  </pic:spPr>
                </pic:pic>
              </a:graphicData>
            </a:graphic>
          </wp:inline>
        </w:drawing>
      </w:r>
    </w:p>
    <w:p>
      <w:pPr>
        <w:pStyle w:val="Caption"/>
      </w:pPr>
      <w:r>
        <w:t>E: Die Hintergrundfarbe stellt die Wahrscheinlichkeit für Klasse 1 dar. F: Größere positive Skalierungsfaktoren machen den Übergang schmaler. Die Sigmoidfunktion als Funktion ihres Eingabewerts z bleibt dabei dieselbe.</w:t>
      </w:r>
    </w:p>
    <w:p>
      <w:r>
        <w:br w:type="page"/>
      </w:r>
    </w:p>
    <w:p>
      <w:pPr>
        <w:pStyle w:val="Heading1"/>
      </w:pPr>
      <w:r>
        <w:t>Schritte 14 bis 16 zur Regularisierung</w:t>
      </w:r>
    </w:p>
    <w:tbl>
      <w:tblPr>
        <w:tblW w:type="auto" w:w="0"/>
        <w:jc w:val="center"/>
        <w:tblLayout w:type="fixed"/>
        <w:tblLook w:firstColumn="1" w:firstRow="1" w:lastColumn="0" w:lastRow="0" w:noHBand="0" w:noVBand="1" w:val="04A0"/>
      </w:tblPr>
      <w:tblGrid>
        <w:gridCol w:w="1474"/>
        <w:gridCol w:w="4309"/>
        <w:gridCol w:w="3061"/>
        <w:gridCol w:w="3288"/>
        <w:gridCol w:w="3005"/>
      </w:tblGrid>
      <w:tr>
        <w:trPr>
          <w:tblHeader/>
          <w:cantSplit/>
        </w:trPr>
        <w:tc>
          <w:tcPr>
            <w:tcW w:type="dxa" w:w="1474"/>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sz w:val="20"/>
              </w:rPr>
              <w:t>Schritt</w:t>
            </w:r>
          </w:p>
        </w:tc>
        <w:tc>
          <w:tcPr>
            <w:tcW w:type="dxa" w:w="4309"/>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Erklärung und grafischer Bezug</w:t>
            </w:r>
          </w:p>
        </w:tc>
        <w:tc>
          <w:tcPr>
            <w:tcW w:type="dxa" w:w="3061"/>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Formeln</w:t>
            </w:r>
          </w:p>
        </w:tc>
        <w:tc>
          <w:tcPr>
            <w:tcW w:type="dxa" w:w="3288"/>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Beispielrechnung</w:t>
            </w:r>
          </w:p>
        </w:tc>
        <w:tc>
          <w:tcPr>
            <w:tcW w:type="dxa" w:w="3005"/>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Übungsaufgabe</w:t>
            </w:r>
          </w:p>
        </w:tc>
      </w:tr>
      <w:tr>
        <w:trPr>
          <w:cantSplit/>
        </w:trPr>
        <w:tc>
          <w:tcPr>
            <w:tcW w:type="dxa" w:w="1474"/>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14</w:t>
            </w:r>
          </w:p>
          <w:p>
            <w:pPr>
              <w:spacing w:after="60" w:line="240" w:lineRule="auto"/>
              <w:jc w:val="center"/>
            </w:pPr>
            <w:r>
              <w:rPr>
                <w:b w:val="0"/>
                <w:sz w:val="20"/>
              </w:rPr>
              <w:t>Breite festlegen</w:t>
            </w:r>
          </w:p>
        </w:tc>
        <w:tc>
          <w:tcPr>
            <w:tcW w:type="dxa" w:w="430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Effektive Breite: senkrechter Bereich zwischen p = 10 % und p = 90 %. Bei größeren Faktoren rücken seine Grenzen zusammen. Die Formel ist eine Vertiefung.</w:t>
            </w:r>
          </w:p>
        </w:tc>
        <w:tc>
          <w:tcPr>
            <w:tcW w:type="dxa" w:w="3061"/>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σ</w:t>
            </w:r>
            <w:r>
              <w:rPr>
                <w:rFonts w:ascii="Cambria" w:hAnsi="Cambria"/>
                <w:b w:val="0"/>
                <w:sz w:val="20"/>
              </w:rPr>
              <w:t>(</w:t>
            </w:r>
            <w:r>
              <w:rPr>
                <w:rFonts w:ascii="Cambria" w:hAnsi="Cambria"/>
                <w:b w:val="0"/>
                <w:sz w:val="20"/>
              </w:rPr>
              <w:t>−</w:t>
            </w:r>
            <w:r>
              <w:rPr>
                <w:rFonts w:ascii="Cambria" w:hAnsi="Cambria"/>
                <w:b w:val="0"/>
                <w:sz w:val="20"/>
              </w:rPr>
              <w:t>l</w:t>
            </w:r>
            <w:r>
              <w:rPr>
                <w:rFonts w:ascii="Cambria" w:hAnsi="Cambria"/>
                <w:b w:val="0"/>
                <w:sz w:val="20"/>
              </w:rPr>
              <w:t>n</w:t>
            </w:r>
            <w:r>
              <w:rPr>
                <w:rFonts w:ascii="Cambria" w:hAnsi="Cambria"/>
                <w:b w:val="0"/>
                <w:sz w:val="20"/>
              </w:rPr>
              <w:t xml:space="preserve"> </w:t>
            </w:r>
            <w:r>
              <w:rPr>
                <w:rFonts w:ascii="Cambria" w:hAnsi="Cambria"/>
                <w:b w:val="0"/>
                <w:sz w:val="20"/>
              </w:rPr>
              <w:t>9</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0</w:t>
            </w:r>
            <w:r>
              <w:rPr>
                <w:rFonts w:ascii="Cambria" w:hAnsi="Cambria"/>
                <w:b w:val="0"/>
                <w:sz w:val="20"/>
              </w:rPr>
              <w:t>,</w:t>
            </w:r>
            <w:r>
              <w:rPr>
                <w:rFonts w:ascii="Cambria" w:hAnsi="Cambria"/>
                <w:b w:val="0"/>
                <w:sz w:val="20"/>
              </w:rPr>
              <w:t>1</w:t>
            </w:r>
          </w:p>
          <w:p>
            <w:pPr>
              <w:spacing w:after="60" w:line="240" w:lineRule="auto"/>
            </w:pPr>
            <w:r>
              <w:rPr>
                <w:rFonts w:ascii="Cambria" w:hAnsi="Cambria"/>
                <w:b w:val="0"/>
                <w:sz w:val="20"/>
              </w:rPr>
              <w:t>σ</w:t>
            </w:r>
            <w:r>
              <w:rPr>
                <w:rFonts w:ascii="Cambria" w:hAnsi="Cambria"/>
                <w:b w:val="0"/>
                <w:sz w:val="20"/>
              </w:rPr>
              <w:t>(</w:t>
            </w:r>
            <w:r>
              <w:rPr>
                <w:rFonts w:ascii="Cambria" w:hAnsi="Cambria"/>
                <w:b w:val="0"/>
                <w:sz w:val="20"/>
              </w:rPr>
              <w:t>l</w:t>
            </w:r>
            <w:r>
              <w:rPr>
                <w:rFonts w:ascii="Cambria" w:hAnsi="Cambria"/>
                <w:b w:val="0"/>
                <w:sz w:val="20"/>
              </w:rPr>
              <w:t>n</w:t>
            </w:r>
            <w:r>
              <w:rPr>
                <w:rFonts w:ascii="Cambria" w:hAnsi="Cambria"/>
                <w:b w:val="0"/>
                <w:sz w:val="20"/>
              </w:rPr>
              <w:t xml:space="preserve"> </w:t>
            </w:r>
            <w:r>
              <w:rPr>
                <w:rFonts w:ascii="Cambria" w:hAnsi="Cambria"/>
                <w:b w:val="0"/>
                <w:sz w:val="20"/>
              </w:rPr>
              <w:t>9</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0</w:t>
            </w:r>
            <w:r>
              <w:rPr>
                <w:rFonts w:ascii="Cambria" w:hAnsi="Cambria"/>
                <w:b w:val="0"/>
                <w:sz w:val="20"/>
              </w:rPr>
              <w:t>,</w:t>
            </w:r>
            <w:r>
              <w:rPr>
                <w:rFonts w:ascii="Cambria" w:hAnsi="Cambria"/>
                <w:b w:val="0"/>
                <w:sz w:val="20"/>
              </w:rPr>
              <w:t>9</w:t>
            </w:r>
          </w:p>
          <w:p>
            <w:pPr>
              <w:spacing w:after="60" w:line="240" w:lineRule="auto"/>
            </w:pPr>
            <w:r>
              <w:rPr>
                <w:rFonts w:ascii="Cambria" w:hAnsi="Cambria"/>
                <w:b w:val="0"/>
                <w:sz w:val="20"/>
              </w:rPr>
              <w:t>B</w:t>
            </w:r>
            <w:r>
              <w:rPr>
                <w:rFonts w:ascii="Cambria" w:hAnsi="Cambria"/>
                <w:b w:val="0"/>
                <w:sz w:val="20"/>
                <w:vertAlign w:val="subscript"/>
              </w:rPr>
              <w:t>k</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2</w:t>
            </w:r>
            <w:r>
              <w:rPr>
                <w:rFonts w:ascii="Cambria" w:hAnsi="Cambria"/>
                <w:b w:val="0"/>
                <w:sz w:val="20"/>
              </w:rPr>
              <w:t xml:space="preserve"> </w:t>
            </w:r>
            <w:r>
              <w:rPr>
                <w:rFonts w:ascii="Cambria" w:hAnsi="Cambria"/>
                <w:b w:val="0"/>
                <w:sz w:val="20"/>
              </w:rPr>
              <w:t>l</w:t>
            </w:r>
            <w:r>
              <w:rPr>
                <w:rFonts w:ascii="Cambria" w:hAnsi="Cambria"/>
                <w:b w:val="0"/>
                <w:sz w:val="20"/>
              </w:rPr>
              <w:t>n</w:t>
            </w:r>
            <w:r>
              <w:rPr>
                <w:rFonts w:ascii="Cambria" w:hAnsi="Cambria"/>
                <w:b w:val="0"/>
                <w:sz w:val="20"/>
              </w:rPr>
              <w:t>(</w:t>
            </w:r>
            <w:r>
              <w:rPr>
                <w:rFonts w:ascii="Cambria" w:hAnsi="Cambria"/>
                <w:b w:val="0"/>
                <w:sz w:val="20"/>
              </w:rPr>
              <w:t>9</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t>
            </w:r>
            <w:r>
              <w:rPr>
                <w:rFonts w:ascii="Cambria" w:hAnsi="Cambria"/>
                <w:b w:val="0"/>
                <w:sz w:val="20"/>
              </w:rPr>
              <w:t>k</w:t>
            </w:r>
            <w:r>
              <w:rPr>
                <w:rFonts w:ascii="Cambria" w:hAnsi="Cambria"/>
                <w:b w:val="0"/>
                <w:sz w:val="20"/>
              </w:rPr>
              <w:t>√</w:t>
            </w:r>
            <w:r>
              <w:rPr>
                <w:rFonts w:ascii="Cambria" w:hAnsi="Cambria"/>
                <w:b w:val="0"/>
                <w:sz w:val="20"/>
              </w:rPr>
              <w:t>2</w:t>
            </w:r>
            <w:r>
              <w:rPr>
                <w:rFonts w:ascii="Cambria" w:hAnsi="Cambria"/>
                <w:b w:val="0"/>
                <w:sz w:val="20"/>
              </w:rPr>
              <w:t>)</w:t>
            </w:r>
          </w:p>
        </w:tc>
        <w:tc>
          <w:tcPr>
            <w:tcW w:type="dxa" w:w="3288"/>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B₀,₅ ≈ 6,215; B₁ ≈ 3,107; B₃ ≈ 1,036. Dreifacher Faktor bedeutet ein Drittel der Breite.</w:t>
            </w:r>
          </w:p>
        </w:tc>
        <w:tc>
          <w:tcPr>
            <w:tcW w:type="dxa" w:w="300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Wie ändert sich die Breite, wenn Gewichte und Bias verdoppelt werden?</w:t>
            </w:r>
          </w:p>
        </w:tc>
      </w:tr>
      <w:tr>
        <w:trPr>
          <w:cantSplit/>
        </w:trPr>
        <w:tc>
          <w:tcPr>
            <w:tcW w:type="dxa" w:w="1474"/>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15</w:t>
            </w:r>
          </w:p>
          <w:p>
            <w:pPr>
              <w:spacing w:after="60" w:line="240" w:lineRule="auto"/>
              <w:jc w:val="center"/>
            </w:pPr>
            <w:r>
              <w:rPr>
                <w:b w:val="0"/>
                <w:sz w:val="20"/>
              </w:rPr>
              <w:t>Trainingsanreiz</w:t>
            </w:r>
          </w:p>
        </w:tc>
        <w:tc>
          <w:tcPr>
            <w:tcW w:type="dxa" w:w="430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Bei vollständig trennbaren Daten verbessert positive Skalierung die vorhergesagten Wahrscheinlichkeiten der richtigen Klassen, obwohl die Klassenzuordnung schon korrekt ist [1].</w:t>
            </w:r>
          </w:p>
        </w:tc>
        <w:tc>
          <w:tcPr>
            <w:tcW w:type="dxa" w:w="3061"/>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F</w:t>
            </w:r>
            <w:r>
              <w:rPr>
                <w:rFonts w:ascii="Cambria" w:hAnsi="Cambria"/>
                <w:b w:val="0"/>
                <w:sz w:val="20"/>
              </w:rPr>
              <w:t>ü</w:t>
            </w:r>
            <w:r>
              <w:rPr>
                <w:rFonts w:ascii="Cambria" w:hAnsi="Cambria"/>
                <w:b w:val="0"/>
                <w:sz w:val="20"/>
              </w:rPr>
              <w:t>r</w:t>
            </w:r>
            <w:r>
              <w:rPr>
                <w:rFonts w:ascii="Cambria" w:hAnsi="Cambria"/>
                <w:b w:val="0"/>
                <w:sz w:val="20"/>
              </w:rPr>
              <w:t xml:space="preserve"> </w:t>
            </w:r>
            <w:r>
              <w:rPr>
                <w:rFonts w:ascii="Cambria" w:hAnsi="Cambria"/>
                <w:b w:val="0"/>
                <w:sz w:val="20"/>
              </w:rPr>
              <w:t>e</w:t>
            </w:r>
            <w:r>
              <w:rPr>
                <w:rFonts w:ascii="Cambria" w:hAnsi="Cambria"/>
                <w:b w:val="0"/>
                <w:sz w:val="20"/>
              </w:rPr>
              <w:t>i</w:t>
            </w:r>
            <w:r>
              <w:rPr>
                <w:rFonts w:ascii="Cambria" w:hAnsi="Cambria"/>
                <w:b w:val="0"/>
                <w:sz w:val="20"/>
              </w:rPr>
              <w:t>n</w:t>
            </w:r>
            <w:r>
              <w:rPr>
                <w:rFonts w:ascii="Cambria" w:hAnsi="Cambria"/>
                <w:b w:val="0"/>
                <w:sz w:val="20"/>
              </w:rPr>
              <w:t>e</w:t>
            </w:r>
            <w:r>
              <w:rPr>
                <w:rFonts w:ascii="Cambria" w:hAnsi="Cambria"/>
                <w:b w:val="0"/>
                <w:sz w:val="20"/>
              </w:rPr>
              <w:t>n</w:t>
            </w:r>
            <w:r>
              <w:rPr>
                <w:rFonts w:ascii="Cambria" w:hAnsi="Cambria"/>
                <w:b w:val="0"/>
                <w:sz w:val="20"/>
              </w:rPr>
              <w:t xml:space="preserve"> </w:t>
            </w:r>
            <w:r>
              <w:rPr>
                <w:rFonts w:ascii="Cambria" w:hAnsi="Cambria"/>
                <w:b w:val="0"/>
                <w:sz w:val="20"/>
              </w:rPr>
              <w:t>K</w:t>
            </w:r>
            <w:r>
              <w:rPr>
                <w:rFonts w:ascii="Cambria" w:hAnsi="Cambria"/>
                <w:b w:val="0"/>
                <w:sz w:val="20"/>
              </w:rPr>
              <w:t>l</w:t>
            </w:r>
            <w:r>
              <w:rPr>
                <w:rFonts w:ascii="Cambria" w:hAnsi="Cambria"/>
                <w:b w:val="0"/>
                <w:sz w:val="20"/>
              </w:rPr>
              <w:t>a</w:t>
            </w:r>
            <w:r>
              <w:rPr>
                <w:rFonts w:ascii="Cambria" w:hAnsi="Cambria"/>
                <w:b w:val="0"/>
                <w:sz w:val="20"/>
              </w:rPr>
              <w:t>s</w:t>
            </w:r>
            <w:r>
              <w:rPr>
                <w:rFonts w:ascii="Cambria" w:hAnsi="Cambria"/>
                <w:b w:val="0"/>
                <w:sz w:val="20"/>
              </w:rPr>
              <w:t>s</w:t>
            </w:r>
            <w:r>
              <w:rPr>
                <w:rFonts w:ascii="Cambria" w:hAnsi="Cambria"/>
                <w:b w:val="0"/>
                <w:sz w:val="20"/>
              </w:rPr>
              <w:t>e</w:t>
            </w:r>
            <w:r>
              <w:rPr>
                <w:rFonts w:ascii="Cambria" w:hAnsi="Cambria"/>
                <w:b w:val="0"/>
                <w:sz w:val="20"/>
              </w:rPr>
              <w:t xml:space="preserve"> </w:t>
            </w:r>
            <w:r>
              <w:rPr>
                <w:rFonts w:ascii="Cambria" w:hAnsi="Cambria"/>
                <w:b w:val="0"/>
                <w:sz w:val="20"/>
              </w:rPr>
              <w:t>1</w:t>
            </w:r>
            <w:r>
              <w:rPr>
                <w:rFonts w:ascii="Cambria" w:hAnsi="Cambria"/>
                <w:b w:val="0"/>
                <w:sz w:val="20"/>
              </w:rPr>
              <w:t xml:space="preserve"> </w:t>
            </w:r>
            <w:r>
              <w:rPr>
                <w:rFonts w:ascii="Cambria" w:hAnsi="Cambria"/>
                <w:b w:val="0"/>
                <w:sz w:val="20"/>
              </w:rPr>
              <w:t>P</w:t>
            </w:r>
            <w:r>
              <w:rPr>
                <w:rFonts w:ascii="Cambria" w:hAnsi="Cambria"/>
                <w:b w:val="0"/>
                <w:sz w:val="20"/>
              </w:rPr>
              <w:t>u</w:t>
            </w:r>
            <w:r>
              <w:rPr>
                <w:rFonts w:ascii="Cambria" w:hAnsi="Cambria"/>
                <w:b w:val="0"/>
                <w:sz w:val="20"/>
              </w:rPr>
              <w:t>n</w:t>
            </w:r>
            <w:r>
              <w:rPr>
                <w:rFonts w:ascii="Cambria" w:hAnsi="Cambria"/>
                <w:b w:val="0"/>
                <w:sz w:val="20"/>
              </w:rPr>
              <w:t>k</w:t>
            </w:r>
            <w:r>
              <w:rPr>
                <w:rFonts w:ascii="Cambria" w:hAnsi="Cambria"/>
                <w:b w:val="0"/>
                <w:sz w:val="20"/>
              </w:rPr>
              <w:t>t</w:t>
            </w:r>
          </w:p>
          <w:p>
            <w:pPr>
              <w:spacing w:after="60" w:line="240" w:lineRule="auto"/>
            </w:pPr>
            <w:r>
              <w:rPr>
                <w:rFonts w:ascii="Cambria" w:hAnsi="Cambria"/>
                <w:b w:val="0"/>
                <w:sz w:val="20"/>
              </w:rPr>
              <w:t>m</w:t>
            </w:r>
            <w:r>
              <w:rPr>
                <w:rFonts w:ascii="Cambria" w:hAnsi="Cambria"/>
                <w:b w:val="0"/>
                <w:sz w:val="20"/>
              </w:rPr>
              <w:t>i</w:t>
            </w:r>
            <w:r>
              <w:rPr>
                <w:rFonts w:ascii="Cambria" w:hAnsi="Cambria"/>
                <w:b w:val="0"/>
                <w:sz w:val="20"/>
              </w:rPr>
              <w:t>t</w:t>
            </w:r>
            <w:r>
              <w:rPr>
                <w:rFonts w:ascii="Cambria" w:hAnsi="Cambria"/>
                <w:b w:val="0"/>
                <w:sz w:val="20"/>
              </w:rPr>
              <w:t xml:space="preserve"> </w:t>
            </w:r>
            <w:r>
              <w:rPr>
                <w:rFonts w:ascii="Cambria" w:hAnsi="Cambria"/>
                <w:b w:val="0"/>
                <w:sz w:val="20"/>
              </w:rPr>
              <w:t>u</w:t>
            </w:r>
            <w:r>
              <w:rPr>
                <w:rFonts w:ascii="Cambria" w:hAnsi="Cambria"/>
                <w:b w:val="0"/>
                <w:sz w:val="20"/>
              </w:rPr>
              <w:t>r</w:t>
            </w:r>
            <w:r>
              <w:rPr>
                <w:rFonts w:ascii="Cambria" w:hAnsi="Cambria"/>
                <w:b w:val="0"/>
                <w:sz w:val="20"/>
              </w:rPr>
              <w:t>s</w:t>
            </w:r>
            <w:r>
              <w:rPr>
                <w:rFonts w:ascii="Cambria" w:hAnsi="Cambria"/>
                <w:b w:val="0"/>
                <w:sz w:val="20"/>
              </w:rPr>
              <w:t>p</w:t>
            </w:r>
            <w:r>
              <w:rPr>
                <w:rFonts w:ascii="Cambria" w:hAnsi="Cambria"/>
                <w:b w:val="0"/>
                <w:sz w:val="20"/>
              </w:rPr>
              <w:t>r</w:t>
            </w:r>
            <w:r>
              <w:rPr>
                <w:rFonts w:ascii="Cambria" w:hAnsi="Cambria"/>
                <w:b w:val="0"/>
                <w:sz w:val="20"/>
              </w:rPr>
              <w:t>ü</w:t>
            </w:r>
            <w:r>
              <w:rPr>
                <w:rFonts w:ascii="Cambria" w:hAnsi="Cambria"/>
                <w:b w:val="0"/>
                <w:sz w:val="20"/>
              </w:rPr>
              <w:t>n</w:t>
            </w:r>
            <w:r>
              <w:rPr>
                <w:rFonts w:ascii="Cambria" w:hAnsi="Cambria"/>
                <w:b w:val="0"/>
                <w:sz w:val="20"/>
              </w:rPr>
              <w:t>g</w:t>
            </w:r>
            <w:r>
              <w:rPr>
                <w:rFonts w:ascii="Cambria" w:hAnsi="Cambria"/>
                <w:b w:val="0"/>
                <w:sz w:val="20"/>
              </w:rPr>
              <w:t>l</w:t>
            </w:r>
            <w:r>
              <w:rPr>
                <w:rFonts w:ascii="Cambria" w:hAnsi="Cambria"/>
                <w:b w:val="0"/>
                <w:sz w:val="20"/>
              </w:rPr>
              <w:t>i</w:t>
            </w:r>
            <w:r>
              <w:rPr>
                <w:rFonts w:ascii="Cambria" w:hAnsi="Cambria"/>
                <w:b w:val="0"/>
                <w:sz w:val="20"/>
              </w:rPr>
              <w:t>c</w:t>
            </w:r>
            <w:r>
              <w:rPr>
                <w:rFonts w:ascii="Cambria" w:hAnsi="Cambria"/>
                <w:b w:val="0"/>
                <w:sz w:val="20"/>
              </w:rPr>
              <w:t>h</w:t>
            </w:r>
            <w:r>
              <w:rPr>
                <w:rFonts w:ascii="Cambria" w:hAnsi="Cambria"/>
                <w:b w:val="0"/>
                <w:sz w:val="20"/>
              </w:rPr>
              <w:t>e</w:t>
            </w:r>
            <w:r>
              <w:rPr>
                <w:rFonts w:ascii="Cambria" w:hAnsi="Cambria"/>
                <w:b w:val="0"/>
                <w:sz w:val="20"/>
              </w:rPr>
              <w:t>m</w:t>
            </w:r>
            <w:r>
              <w:rPr>
                <w:rFonts w:ascii="Cambria" w:hAnsi="Cambria"/>
                <w:b w:val="0"/>
                <w:sz w:val="20"/>
              </w:rPr>
              <w:t xml:space="preserve"> </w:t>
            </w:r>
            <w:r>
              <w:rPr>
                <w:rFonts w:ascii="Cambria" w:hAnsi="Cambria"/>
                <w:b w:val="0"/>
                <w:sz w:val="20"/>
              </w:rPr>
              <w:t>z</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1</w:t>
            </w:r>
            <w:r>
              <w:rPr>
                <w:rFonts w:ascii="Cambria" w:hAnsi="Cambria"/>
                <w:b w:val="0"/>
                <w:sz w:val="20"/>
              </w:rPr>
              <w:t>:</w:t>
            </w:r>
          </w:p>
          <w:p>
            <w:pPr>
              <w:spacing w:after="60" w:line="240" w:lineRule="auto"/>
            </w:pPr>
            <w:r>
              <w:rPr>
                <w:rFonts w:ascii="Cambria" w:hAnsi="Cambria"/>
                <w:b w:val="0"/>
                <w:sz w:val="20"/>
              </w:rPr>
              <w:t>p</w:t>
            </w:r>
            <w:r>
              <w:rPr>
                <w:rFonts w:ascii="Cambria" w:hAnsi="Cambria"/>
                <w:b w:val="0"/>
                <w:sz w:val="20"/>
                <w:vertAlign w:val="subscript"/>
              </w:rPr>
              <w:t>k</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σ</w:t>
            </w:r>
            <w:r>
              <w:rPr>
                <w:rFonts w:ascii="Cambria" w:hAnsi="Cambria"/>
                <w:b w:val="0"/>
                <w:sz w:val="20"/>
              </w:rPr>
              <w:t>(</w:t>
            </w:r>
            <w:r>
              <w:rPr>
                <w:rFonts w:ascii="Cambria" w:hAnsi="Cambria"/>
                <w:b w:val="0"/>
                <w:sz w:val="20"/>
              </w:rPr>
              <w:t>k</w:t>
            </w:r>
            <w:r>
              <w:rPr>
                <w:rFonts w:ascii="Cambria" w:hAnsi="Cambria"/>
                <w:b w:val="0"/>
                <w:sz w:val="20"/>
              </w:rPr>
              <w:t>)</w:t>
            </w:r>
          </w:p>
        </w:tc>
        <w:tc>
          <w:tcPr>
            <w:tcW w:type="dxa" w:w="3288"/>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k = 1: p ≈ 73,11 %.</w:t>
            </w:r>
          </w:p>
          <w:p>
            <w:pPr>
              <w:spacing w:after="60" w:line="240" w:lineRule="auto"/>
            </w:pPr>
            <w:r>
              <w:rPr>
                <w:b w:val="0"/>
                <w:sz w:val="20"/>
              </w:rPr>
              <w:t>k = 3: p ≈ 95,26 %.</w:t>
            </w:r>
          </w:p>
          <w:p>
            <w:pPr>
              <w:spacing w:after="60" w:line="240" w:lineRule="auto"/>
            </w:pPr>
            <w:r>
              <w:rPr>
                <w:b w:val="0"/>
                <w:sz w:val="20"/>
              </w:rPr>
              <w:t>k = 10: p ≈ 99,995 %.</w:t>
            </w:r>
          </w:p>
          <w:p>
            <w:pPr>
              <w:spacing w:after="60" w:line="240" w:lineRule="auto"/>
            </w:pPr>
            <w:r>
              <w:rPr>
                <w:b w:val="0"/>
                <w:sz w:val="20"/>
              </w:rPr>
              <w:t>Die Grenze bleibt gleich.</w:t>
            </w:r>
          </w:p>
        </w:tc>
        <w:tc>
          <w:tcPr>
            <w:tcW w:type="dxa" w:w="300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Was sagt die Klassifikationsgenauigkeit allein über die drei Modelle aus?</w:t>
            </w:r>
          </w:p>
        </w:tc>
      </w:tr>
      <w:tr>
        <w:trPr>
          <w:cantSplit/>
        </w:trPr>
        <w:tc>
          <w:tcPr>
            <w:tcW w:type="dxa" w:w="1474"/>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16</w:t>
            </w:r>
          </w:p>
          <w:p>
            <w:pPr>
              <w:spacing w:after="60" w:line="240" w:lineRule="auto"/>
              <w:jc w:val="center"/>
            </w:pPr>
            <w:r>
              <w:rPr>
                <w:b w:val="0"/>
                <w:sz w:val="20"/>
              </w:rPr>
              <w:t>Regularisieren</w:t>
            </w:r>
          </w:p>
        </w:tc>
        <w:tc>
          <w:tcPr>
            <w:tcW w:type="dxa" w:w="430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Große Gewichte erhalten zusätzliche Kosten. L bezeichnet den Datenverlust. Das Training wägt Datenanpassung und Gewichtsgröße ab. Einstieg in L2-Regularisierung; hier wird der Bias nicht bestraft [2].</w:t>
            </w:r>
          </w:p>
        </w:tc>
        <w:tc>
          <w:tcPr>
            <w:tcW w:type="dxa" w:w="3061"/>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rFonts w:ascii="Cambria" w:hAnsi="Cambria"/>
                <w:b w:val="0"/>
                <w:sz w:val="20"/>
              </w:rPr>
              <w:t>J</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L</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λ</w:t>
            </w:r>
            <w:r>
              <w:rPr>
                <w:rFonts w:ascii="Cambria" w:hAnsi="Cambria"/>
                <w:b w:val="0"/>
                <w:sz w:val="20"/>
              </w:rPr>
              <w:t>(</w:t>
            </w:r>
            <w:r>
              <w:rPr>
                <w:rFonts w:ascii="Cambria" w:hAnsi="Cambria"/>
                <w:b w:val="0"/>
                <w:sz w:val="20"/>
              </w:rPr>
              <w:t>w</w:t>
            </w:r>
            <w:r>
              <w:rPr>
                <w:rFonts w:ascii="Cambria" w:hAnsi="Cambria"/>
                <w:b w:val="0"/>
                <w:sz w:val="20"/>
                <w:vertAlign w:val="subscript"/>
              </w:rPr>
              <w:t>1</w:t>
            </w:r>
            <w:r>
              <w:rPr>
                <w:rFonts w:ascii="Cambria" w:hAnsi="Cambria"/>
                <w:b w:val="0"/>
                <w:sz w:val="20"/>
                <w:vertAlign w:val="superscript"/>
              </w:rPr>
              <w:t>2</w:t>
            </w:r>
            <w:r>
              <w:rPr>
                <w:rFonts w:ascii="Cambria" w:hAnsi="Cambria"/>
                <w:b w:val="0"/>
                <w:sz w:val="20"/>
              </w:rPr>
              <w:t xml:space="preserve"> </w:t>
            </w:r>
            <w:r>
              <w:rPr>
                <w:rFonts w:ascii="Cambria" w:hAnsi="Cambria"/>
                <w:b w:val="0"/>
                <w:sz w:val="20"/>
              </w:rPr>
              <w:t>+</w:t>
            </w:r>
            <w:r>
              <w:rPr>
                <w:rFonts w:ascii="Cambria" w:hAnsi="Cambria"/>
                <w:b w:val="0"/>
                <w:sz w:val="20"/>
              </w:rPr>
              <w:t xml:space="preserve"> </w:t>
            </w:r>
            <w:r>
              <w:rPr>
                <w:rFonts w:ascii="Cambria" w:hAnsi="Cambria"/>
                <w:b w:val="0"/>
                <w:sz w:val="20"/>
              </w:rPr>
              <w:t>w</w:t>
            </w:r>
            <w:r>
              <w:rPr>
                <w:rFonts w:ascii="Cambria" w:hAnsi="Cambria"/>
                <w:b w:val="0"/>
                <w:sz w:val="20"/>
                <w:vertAlign w:val="subscript"/>
              </w:rPr>
              <w:t>2</w:t>
            </w:r>
            <w:r>
              <w:rPr>
                <w:rFonts w:ascii="Cambria" w:hAnsi="Cambria"/>
                <w:b w:val="0"/>
                <w:sz w:val="20"/>
                <w:vertAlign w:val="superscript"/>
              </w:rPr>
              <w:t>2</w:t>
            </w:r>
            <w:r>
              <w:rPr>
                <w:rFonts w:ascii="Cambria" w:hAnsi="Cambria"/>
                <w:b w:val="0"/>
                <w:sz w:val="20"/>
              </w:rPr>
              <w:t>)</w:t>
            </w:r>
          </w:p>
          <w:p>
            <w:pPr>
              <w:spacing w:after="60" w:line="240" w:lineRule="auto"/>
            </w:pPr>
            <w:r>
              <w:rPr>
                <w:rFonts w:ascii="Cambria" w:hAnsi="Cambria"/>
                <w:b w:val="0"/>
                <w:sz w:val="20"/>
              </w:rPr>
              <w:t>λ</w:t>
            </w:r>
            <w:r>
              <w:rPr>
                <w:rFonts w:ascii="Cambria" w:hAnsi="Cambria"/>
                <w:b w:val="0"/>
                <w:sz w:val="20"/>
              </w:rPr>
              <w:t xml:space="preserve"> </w:t>
            </w:r>
            <w:r>
              <w:rPr>
                <w:rFonts w:ascii="Cambria" w:hAnsi="Cambria"/>
                <w:b w:val="0"/>
                <w:sz w:val="20"/>
              </w:rPr>
              <w:t>&gt;</w:t>
            </w:r>
            <w:r>
              <w:rPr>
                <w:rFonts w:ascii="Cambria" w:hAnsi="Cambria"/>
                <w:b w:val="0"/>
                <w:sz w:val="20"/>
              </w:rPr>
              <w:t xml:space="preserve"> </w:t>
            </w:r>
            <w:r>
              <w:rPr>
                <w:rFonts w:ascii="Cambria" w:hAnsi="Cambria"/>
                <w:b w:val="0"/>
                <w:sz w:val="20"/>
              </w:rPr>
              <w:t>0</w:t>
            </w:r>
          </w:p>
        </w:tc>
        <w:tc>
          <w:tcPr>
            <w:tcW w:type="dxa" w:w="3288"/>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Für λ = 0,1:</w:t>
            </w:r>
          </w:p>
          <w:p>
            <w:pPr>
              <w:spacing w:after="60" w:line="240" w:lineRule="auto"/>
            </w:pPr>
            <w:r>
              <w:rPr>
                <w:b w:val="0"/>
                <w:sz w:val="20"/>
              </w:rPr>
              <w:t>(−1; 1): Zusatzstrafe 0,2.</w:t>
            </w:r>
          </w:p>
          <w:p>
            <w:pPr>
              <w:spacing w:after="60" w:line="240" w:lineRule="auto"/>
            </w:pPr>
            <w:r>
              <w:rPr>
                <w:b w:val="0"/>
                <w:sz w:val="20"/>
              </w:rPr>
              <w:t>(−3; 3): Zusatzstrafe 1,8.</w:t>
            </w:r>
          </w:p>
        </w:tc>
        <w:tc>
          <w:tcPr>
            <w:tcW w:type="dxa" w:w="300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Berechne die Zusatzstrafe für die Gewichte (−2; 2).</w:t>
            </w:r>
          </w:p>
        </w:tc>
      </w:tr>
    </w:tbl>
    <w:p>
      <w:pPr>
        <w:pStyle w:val="Heading2"/>
      </w:pPr>
      <w:r>
        <w:t>Abschlussformulierung für den Unterricht</w:t>
      </w:r>
    </w:p>
    <w:p>
      <w:r>
        <w:t>Auch wenn eine Gerade unsere Trainingsdaten vollständig trennt, wissen wir deshalb noch nicht, dass neue Fälle nahezu sicher einer Klasse angehören. Das unregularisierte Training kann die Gewichte trotzdem immer weiter vergrößern und dadurch immer extremere Wahrscheinlichkeiten erzeugen. Regularisierung setzt großen Gewichten zusätzliche Kosten entgegen.</w:t>
      </w:r>
    </w:p>
    <w:p>
      <w:r>
        <w:t>Bei endlichen Scores liefert die Sigmoidfunktion mathematisch niemals exakt 0 oder 1. Regularisierung garantiert keine korrekt eingeschätzten Wahrscheinlichkeiten; sie begrenzt hier den Anreiz zu immer größeren Gewichten.</w:t>
      </w:r>
    </w:p>
    <w:p>
      <w:r>
        <w:br w:type="page"/>
      </w:r>
    </w:p>
    <w:p>
      <w:pPr>
        <w:pStyle w:val="Heading1"/>
      </w:pPr>
      <w:r>
        <w:t>Wertetabelle und mathematische Vertiefung</w:t>
      </w:r>
    </w:p>
    <w:p>
      <w:r>
        <w:t>Die fünf Punkte liegen auf derselben senkrechten Messlinie durch (2; 3). Die Werte gelten für k = 1 und die festgehaltene Skalierung der Merkmale.</w:t>
      </w:r>
    </w:p>
    <w:tbl>
      <w:tblPr>
        <w:tblW w:type="auto" w:w="0"/>
        <w:jc w:val="center"/>
        <w:tblLayout w:type="fixed"/>
        <w:tblLook w:firstColumn="1" w:firstRow="1" w:lastColumn="0" w:lastRow="0" w:noHBand="0" w:noVBand="1" w:val="04A0"/>
      </w:tblPr>
      <w:tblGrid>
        <w:gridCol w:w="3685"/>
        <w:gridCol w:w="2835"/>
        <w:gridCol w:w="3969"/>
        <w:gridCol w:w="4649"/>
      </w:tblGrid>
      <w:tr>
        <w:trPr>
          <w:tblHeader/>
          <w:cantSplit/>
        </w:trPr>
        <w:tc>
          <w:tcPr>
            <w:tcW w:type="dxa" w:w="3685"/>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sz w:val="20"/>
              </w:rPr>
              <w:t>Punkt (x₁; x₂)</w:t>
            </w:r>
          </w:p>
        </w:tc>
        <w:tc>
          <w:tcPr>
            <w:tcW w:type="dxa" w:w="2835"/>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Score z</w:t>
            </w:r>
          </w:p>
        </w:tc>
        <w:tc>
          <w:tcPr>
            <w:tcW w:type="dxa" w:w="3969"/>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Abstand d = z / √2</w:t>
            </w:r>
          </w:p>
        </w:tc>
        <w:tc>
          <w:tcPr>
            <w:tcW w:type="dxa" w:w="4649"/>
            <w:vAlign w:val="center"/>
            <w:shd w:fill="DCE6F1"/>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sz w:val="20"/>
              </w:rPr>
              <w:t>p für Klasse 1</w:t>
            </w:r>
          </w:p>
        </w:tc>
      </w:tr>
      <w:tr>
        <w:trPr>
          <w:cantSplit/>
        </w:trPr>
        <w:tc>
          <w:tcPr>
            <w:tcW w:type="dxa" w:w="368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(3; 2)</w:t>
            </w:r>
          </w:p>
        </w:tc>
        <w:tc>
          <w:tcPr>
            <w:tcW w:type="dxa" w:w="283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−2</w:t>
            </w:r>
          </w:p>
        </w:tc>
        <w:tc>
          <w:tcPr>
            <w:tcW w:type="dxa" w:w="396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−1,414</w:t>
            </w:r>
          </w:p>
        </w:tc>
        <w:tc>
          <w:tcPr>
            <w:tcW w:type="dxa" w:w="464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11,9 %</w:t>
            </w:r>
          </w:p>
        </w:tc>
      </w:tr>
      <w:tr>
        <w:trPr>
          <w:cantSplit/>
        </w:trPr>
        <w:tc>
          <w:tcPr>
            <w:tcW w:type="dxa" w:w="368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(2,5; 2,5)</w:t>
            </w:r>
          </w:p>
        </w:tc>
        <w:tc>
          <w:tcPr>
            <w:tcW w:type="dxa" w:w="283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−1</w:t>
            </w:r>
          </w:p>
        </w:tc>
        <w:tc>
          <w:tcPr>
            <w:tcW w:type="dxa" w:w="396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−0,707</w:t>
            </w:r>
          </w:p>
        </w:tc>
        <w:tc>
          <w:tcPr>
            <w:tcW w:type="dxa" w:w="464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26,9 %</w:t>
            </w:r>
          </w:p>
        </w:tc>
      </w:tr>
      <w:tr>
        <w:trPr>
          <w:cantSplit/>
        </w:trPr>
        <w:tc>
          <w:tcPr>
            <w:tcW w:type="dxa" w:w="368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(2; 3)</w:t>
            </w:r>
          </w:p>
        </w:tc>
        <w:tc>
          <w:tcPr>
            <w:tcW w:type="dxa" w:w="283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0</w:t>
            </w:r>
          </w:p>
        </w:tc>
        <w:tc>
          <w:tcPr>
            <w:tcW w:type="dxa" w:w="396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0</w:t>
            </w:r>
          </w:p>
        </w:tc>
        <w:tc>
          <w:tcPr>
            <w:tcW w:type="dxa" w:w="464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50,0 %</w:t>
            </w:r>
          </w:p>
        </w:tc>
      </w:tr>
      <w:tr>
        <w:trPr>
          <w:cantSplit/>
        </w:trPr>
        <w:tc>
          <w:tcPr>
            <w:tcW w:type="dxa" w:w="368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(1,5; 3,5)</w:t>
            </w:r>
          </w:p>
        </w:tc>
        <w:tc>
          <w:tcPr>
            <w:tcW w:type="dxa" w:w="2835"/>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1</w:t>
            </w:r>
          </w:p>
        </w:tc>
        <w:tc>
          <w:tcPr>
            <w:tcW w:type="dxa" w:w="396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0,707</w:t>
            </w:r>
          </w:p>
        </w:tc>
        <w:tc>
          <w:tcPr>
            <w:tcW w:type="dxa" w:w="4649"/>
            <w:vAlign w:val="center"/>
            <w:shd w:fill="F4F7FA"/>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73,1 %</w:t>
            </w:r>
          </w:p>
        </w:tc>
      </w:tr>
      <w:tr>
        <w:trPr>
          <w:cantSplit/>
        </w:trPr>
        <w:tc>
          <w:tcPr>
            <w:tcW w:type="dxa" w:w="368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jc w:val="center"/>
            </w:pPr>
            <w:r>
              <w:rPr>
                <w:b w:val="0"/>
                <w:sz w:val="20"/>
              </w:rPr>
            </w:r>
            <w:r>
              <w:rPr>
                <w:b w:val="0"/>
                <w:sz w:val="20"/>
              </w:rPr>
              <w:t>(1; 4)</w:t>
            </w:r>
          </w:p>
        </w:tc>
        <w:tc>
          <w:tcPr>
            <w:tcW w:type="dxa" w:w="2835"/>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2</w:t>
            </w:r>
          </w:p>
        </w:tc>
        <w:tc>
          <w:tcPr>
            <w:tcW w:type="dxa" w:w="396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1,414</w:t>
            </w:r>
          </w:p>
        </w:tc>
        <w:tc>
          <w:tcPr>
            <w:tcW w:type="dxa" w:w="4649"/>
            <w:vAlign w:val="center"/>
            <w:shd w:fill="FFFFFF"/>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60" w:line="240" w:lineRule="auto"/>
            </w:pPr>
            <w:r>
              <w:rPr>
                <w:b w:val="0"/>
                <w:sz w:val="20"/>
              </w:rPr>
            </w:r>
            <w:r>
              <w:rPr>
                <w:b w:val="0"/>
                <w:sz w:val="20"/>
              </w:rPr>
              <w:t>88,1 %</w:t>
            </w:r>
          </w:p>
        </w:tc>
      </w:tr>
    </w:tbl>
    <w:p>
      <w:pPr>
        <w:pStyle w:val="Heading2"/>
      </w:pPr>
      <w:r>
        <w:t>Woher die Sigmoidfunktion kommt</w:t>
      </w:r>
    </w:p>
    <w:p>
      <w:r>
        <w:t>Die Geometrie allein legt die Sigmoidfunktion nicht fest. Im Grundkurs wird sie als Modellannahme eingeführt. Als Vertiefung nimmt man an, dass die logarithmierten Chancen linear von den Merkmalen abhängen. Dabei bezeichnet p / (1 − p) die Chance für Klasse 1 [1].</w:t>
      </w:r>
    </w:p>
    <w:p>
      <w:pPr>
        <w:spacing w:after="160"/>
      </w:pPr>
      <w:r>
        <w:rPr>
          <w:rFonts w:ascii="Cambria" w:hAnsi="Cambria"/>
          <w:sz w:val="20"/>
        </w:rPr>
        <w:t>l</w:t>
      </w:r>
      <w:r>
        <w:rPr>
          <w:rFonts w:ascii="Cambria" w:hAnsi="Cambria"/>
          <w:sz w:val="20"/>
        </w:rPr>
        <w:t>n</w:t>
      </w:r>
      <w:r>
        <w:rPr>
          <w:rFonts w:ascii="Cambria" w:hAnsi="Cambria"/>
          <w:sz w:val="20"/>
        </w:rPr>
        <w:t>(</w:t>
      </w:r>
      <w:r>
        <w:rPr>
          <w:rFonts w:ascii="Cambria" w:hAnsi="Cambria"/>
          <w:sz w:val="20"/>
        </w:rPr>
        <w:t>p</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w:t>
      </w:r>
      <w:r>
        <w:rPr>
          <w:rFonts w:ascii="Cambria" w:hAnsi="Cambria"/>
          <w:sz w:val="20"/>
        </w:rPr>
        <w:t>1</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p</w:t>
      </w:r>
      <w:r>
        <w:rPr>
          <w:rFonts w:ascii="Cambria" w:hAnsi="Cambria"/>
          <w:sz w:val="20"/>
        </w:rPr>
        <w:t>)</w:t>
      </w:r>
      <w:r>
        <w:rPr>
          <w:rFonts w:ascii="Cambria" w:hAnsi="Cambria"/>
          <w:sz w:val="20"/>
        </w:rPr>
        <w:t>)</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z</w:t>
      </w:r>
      <w:r>
        <w:rPr>
          <w:rFonts w:ascii="Cambria" w:hAnsi="Cambria"/>
          <w:sz w:val="20"/>
        </w:rPr>
        <w:t xml:space="preserve"> </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 xml:space="preserve"> </w:t>
      </w:r>
      <w:r>
        <w:rPr>
          <w:rFonts w:ascii="Cambria" w:hAnsi="Cambria"/>
          <w:sz w:val="20"/>
        </w:rPr>
        <w:t>p</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w:t>
      </w:r>
      <w:r>
        <w:rPr>
          <w:rFonts w:ascii="Cambria" w:hAnsi="Cambria"/>
          <w:sz w:val="20"/>
        </w:rPr>
        <w:t>1</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p</w:t>
      </w:r>
      <w:r>
        <w:rPr>
          <w:rFonts w:ascii="Cambria" w:hAnsi="Cambria"/>
          <w:sz w:val="20"/>
        </w:rPr>
        <w:t>)</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e</w:t>
      </w:r>
      <w:r>
        <w:rPr>
          <w:rFonts w:ascii="Cambria" w:hAnsi="Cambria"/>
          <w:sz w:val="20"/>
          <w:vertAlign w:val="superscript"/>
        </w:rPr>
        <w:t>z</w:t>
      </w:r>
      <w:r>
        <w:rPr>
          <w:rFonts w:ascii="Cambria" w:hAnsi="Cambria"/>
          <w:sz w:val="20"/>
        </w:rPr>
        <w:t xml:space="preserve"> </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 xml:space="preserve"> </w:t>
      </w:r>
      <w:r>
        <w:rPr>
          <w:rFonts w:ascii="Cambria" w:hAnsi="Cambria"/>
          <w:sz w:val="20"/>
        </w:rPr>
        <w:t>p</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e</w:t>
      </w:r>
      <w:r>
        <w:rPr>
          <w:rFonts w:ascii="Cambria" w:hAnsi="Cambria"/>
          <w:sz w:val="20"/>
          <w:vertAlign w:val="superscript"/>
        </w:rPr>
        <w:t>z</w:t>
      </w:r>
      <w:r>
        <w:rPr>
          <w:rFonts w:ascii="Cambria" w:hAnsi="Cambria"/>
          <w:sz w:val="20"/>
        </w:rPr>
        <w:t>(</w:t>
      </w:r>
      <w:r>
        <w:rPr>
          <w:rFonts w:ascii="Cambria" w:hAnsi="Cambria"/>
          <w:sz w:val="20"/>
        </w:rPr>
        <w:t>1</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p</w:t>
      </w:r>
      <w:r>
        <w:rPr>
          <w:rFonts w:ascii="Cambria" w:hAnsi="Cambria"/>
          <w:sz w:val="20"/>
        </w:rPr>
        <w:t>)</w:t>
      </w:r>
    </w:p>
    <w:p>
      <w:pPr>
        <w:spacing w:after="160"/>
      </w:pPr>
      <w:r>
        <w:rPr>
          <w:rFonts w:ascii="Cambria" w:hAnsi="Cambria"/>
          <w:sz w:val="20"/>
        </w:rPr>
        <w:t>p</w:t>
      </w:r>
      <w:r>
        <w:rPr>
          <w:rFonts w:ascii="Cambria" w:hAnsi="Cambria"/>
          <w:sz w:val="20"/>
        </w:rPr>
        <w:t>(</w:t>
      </w:r>
      <w:r>
        <w:rPr>
          <w:rFonts w:ascii="Cambria" w:hAnsi="Cambria"/>
          <w:sz w:val="20"/>
        </w:rPr>
        <w:t>1</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e</w:t>
      </w:r>
      <w:r>
        <w:rPr>
          <w:rFonts w:ascii="Cambria" w:hAnsi="Cambria"/>
          <w:sz w:val="20"/>
          <w:vertAlign w:val="superscript"/>
        </w:rPr>
        <w:t>z</w:t>
      </w:r>
      <w:r>
        <w:rPr>
          <w:rFonts w:ascii="Cambria" w:hAnsi="Cambria"/>
          <w:sz w:val="20"/>
        </w:rPr>
        <w:t>)</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e</w:t>
      </w:r>
      <w:r>
        <w:rPr>
          <w:rFonts w:ascii="Cambria" w:hAnsi="Cambria"/>
          <w:sz w:val="20"/>
          <w:vertAlign w:val="superscript"/>
        </w:rPr>
        <w:t>z</w:t>
      </w:r>
      <w:r>
        <w:rPr>
          <w:rFonts w:ascii="Cambria" w:hAnsi="Cambria"/>
          <w:sz w:val="20"/>
        </w:rPr>
        <w:t xml:space="preserve"> </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 xml:space="preserve"> </w:t>
      </w:r>
      <w:r>
        <w:rPr>
          <w:rFonts w:ascii="Cambria" w:hAnsi="Cambria"/>
          <w:sz w:val="20"/>
        </w:rPr>
        <w:t>p</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e</w:t>
      </w:r>
      <w:r>
        <w:rPr>
          <w:rFonts w:ascii="Cambria" w:hAnsi="Cambria"/>
          <w:sz w:val="20"/>
          <w:vertAlign w:val="superscript"/>
        </w:rPr>
        <w:t>z</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w:t>
      </w:r>
      <w:r>
        <w:rPr>
          <w:rFonts w:ascii="Cambria" w:hAnsi="Cambria"/>
          <w:sz w:val="20"/>
        </w:rPr>
        <w:t>1</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e</w:t>
      </w:r>
      <w:r>
        <w:rPr>
          <w:rFonts w:ascii="Cambria" w:hAnsi="Cambria"/>
          <w:sz w:val="20"/>
          <w:vertAlign w:val="superscript"/>
        </w:rPr>
        <w:t>z</w:t>
      </w:r>
      <w:r>
        <w:rPr>
          <w:rFonts w:ascii="Cambria" w:hAnsi="Cambria"/>
          <w:sz w:val="20"/>
        </w:rPr>
        <w:t>)</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1</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w:t>
      </w:r>
      <w:r>
        <w:rPr>
          <w:rFonts w:ascii="Cambria" w:hAnsi="Cambria"/>
          <w:sz w:val="20"/>
        </w:rPr>
        <w:t>1</w:t>
      </w:r>
      <w:r>
        <w:rPr>
          <w:rFonts w:ascii="Cambria" w:hAnsi="Cambria"/>
          <w:sz w:val="20"/>
        </w:rPr>
        <w:t xml:space="preserve"> </w:t>
      </w:r>
      <w:r>
        <w:rPr>
          <w:rFonts w:ascii="Cambria" w:hAnsi="Cambria"/>
          <w:sz w:val="20"/>
        </w:rPr>
        <w:t>+</w:t>
      </w:r>
      <w:r>
        <w:rPr>
          <w:rFonts w:ascii="Cambria" w:hAnsi="Cambria"/>
          <w:sz w:val="20"/>
        </w:rPr>
        <w:t xml:space="preserve"> </w:t>
      </w:r>
      <w:r>
        <w:rPr>
          <w:rFonts w:ascii="Cambria" w:hAnsi="Cambria"/>
          <w:sz w:val="20"/>
        </w:rPr>
        <w:t>e</w:t>
      </w:r>
      <w:r>
        <w:rPr>
          <w:rFonts w:ascii="Cambria" w:hAnsi="Cambria"/>
          <w:sz w:val="20"/>
          <w:vertAlign w:val="superscript"/>
        </w:rPr>
        <w:t>−</w:t>
      </w:r>
      <w:r>
        <w:rPr>
          <w:rFonts w:ascii="Cambria" w:hAnsi="Cambria"/>
          <w:sz w:val="20"/>
          <w:vertAlign w:val="superscript"/>
        </w:rPr>
        <w:t>z</w:t>
      </w:r>
      <w:r>
        <w:rPr>
          <w:rFonts w:ascii="Cambria" w:hAnsi="Cambria"/>
          <w:sz w:val="20"/>
        </w:rPr>
        <w:t>)</w:t>
      </w:r>
    </w:p>
    <w:p>
      <w:pPr>
        <w:pStyle w:val="Heading2"/>
      </w:pPr>
      <w:r>
        <w:t>Warum sich die Breite umgekehrt zum Faktor verändert</w:t>
      </w:r>
    </w:p>
    <w:p>
      <w:r>
        <w:t>Im Beispiel gilt zₖ = k√2 d. Die Werte 10 % und 90 % werden bei zₖ = −ln 9 beziehungsweise zₖ = ln 9 erreicht. Die Differenz der beiden zugehörigen Abstände ist Bₖ = 2 ln(9) / (k√2). Allgemein gilt B = 2 ln(9) / ‖w‖. Vergleiche der Gewichtsgröße setzen dieselbe Merkmalsskalierung voraus.</w:t>
      </w:r>
    </w:p>
    <w:p>
      <w:r>
        <w:br w:type="page"/>
      </w:r>
    </w:p>
    <w:p>
      <w:pPr>
        <w:pStyle w:val="Heading1"/>
      </w:pPr>
      <w:r>
        <w:t>Lösungshinweise und Quellen</w:t>
      </w:r>
    </w:p>
    <w:tbl>
      <w:tblPr>
        <w:tblW w:type="auto" w:w="0"/>
        <w:jc w:val="center"/>
        <w:tblLayout w:type="fixed"/>
        <w:tblLook w:firstColumn="1" w:firstRow="1" w:lastColumn="0" w:lastRow="0" w:noHBand="0" w:noVBand="1" w:val="04A0"/>
      </w:tblPr>
      <w:tblGrid>
        <w:gridCol w:w="1191"/>
        <w:gridCol w:w="13946"/>
      </w:tblGrid>
      <w:tr>
        <w:trPr>
          <w:tblHeader/>
          <w:cantSplit/>
        </w:trPr>
        <w:tc>
          <w:tcPr>
            <w:tcW w:type="dxa" w:w="1191"/>
            <w:vAlign w:val="center"/>
            <w:shd w:fill="DCE6F1"/>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sz w:val="19"/>
              </w:rPr>
              <w:t>Aufgabe</w:t>
            </w:r>
          </w:p>
        </w:tc>
        <w:tc>
          <w:tcPr>
            <w:tcW w:type="dxa" w:w="13946"/>
            <w:vAlign w:val="center"/>
            <w:shd w:fill="DCE6F1"/>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sz w:val="19"/>
              </w:rPr>
              <w:t>Lösungshinweis</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1</w:t>
            </w:r>
          </w:p>
        </w:tc>
        <w:tc>
          <w:tcPr>
            <w:tcW w:type="dxa" w:w="13946"/>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Zum Beispiel Klasse 0: (0,5; 0,5); Klasse 1: (0,5; 2,5). Weitere Punkte sind möglich.</w:t>
            </w:r>
          </w:p>
        </w:tc>
      </w:tr>
      <w:tr>
        <w:trPr>
          <w:cantSplit/>
        </w:trPr>
        <w:tc>
          <w:tcPr>
            <w:tcW w:type="dxa" w:w="1191"/>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2</w:t>
            </w:r>
          </w:p>
        </w:tc>
        <w:tc>
          <w:tcPr>
            <w:tcW w:type="dxa" w:w="13946"/>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Zum Beispiel x₂ = x₁ + 0,75. Alle dargestellten Klassenpunkte bleiben auf der richtigen Seite.</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3</w:t>
            </w:r>
          </w:p>
        </w:tc>
        <w:tc>
          <w:tcPr>
            <w:tcW w:type="dxa" w:w="13946"/>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m = (6 − 2) / (2 − 0) = 2.</w:t>
            </w:r>
          </w:p>
        </w:tc>
      </w:tr>
      <w:tr>
        <w:trPr>
          <w:cantSplit/>
        </w:trPr>
        <w:tc>
          <w:tcPr>
            <w:tcW w:type="dxa" w:w="1191"/>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4</w:t>
            </w:r>
          </w:p>
        </w:tc>
        <w:tc>
          <w:tcPr>
            <w:tcW w:type="dxa" w:w="13946"/>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x₂ = 0 einsetzen: 0 = x₁ + 1, also Schnittpunkt (−1; 0).</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5</w:t>
            </w:r>
          </w:p>
        </w:tc>
        <w:tc>
          <w:tcPr>
            <w:tcW w:type="dxa" w:w="13946"/>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−2x₁ + x₂ − 3 = 0. Auch jedes von null verschiedene Vielfache ist als Geradengleichung korrekt.</w:t>
            </w:r>
          </w:p>
        </w:tc>
      </w:tr>
      <w:tr>
        <w:trPr>
          <w:cantSplit/>
        </w:trPr>
        <w:tc>
          <w:tcPr>
            <w:tcW w:type="dxa" w:w="1191"/>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6</w:t>
            </w:r>
          </w:p>
        </w:tc>
        <w:tc>
          <w:tcPr>
            <w:tcW w:type="dxa" w:w="13946"/>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z = −3 + 4 − 1 = 0.</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7</w:t>
            </w:r>
          </w:p>
        </w:tc>
        <w:tc>
          <w:tcPr>
            <w:tcW w:type="dxa" w:w="13946"/>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(1; 3): z = 1, oberhalb. (3; 3): z = −1, unterhalb.</w:t>
            </w:r>
          </w:p>
        </w:tc>
      </w:tr>
      <w:tr>
        <w:trPr>
          <w:cantSplit/>
        </w:trPr>
        <w:tc>
          <w:tcPr>
            <w:tcW w:type="dxa" w:w="1191"/>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8</w:t>
            </w:r>
          </w:p>
        </w:tc>
        <w:tc>
          <w:tcPr>
            <w:tcW w:type="dxa" w:w="13946"/>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Zum Beispiel (1; 1) und (2; 2); beide erfüllen x₂ = x₁ und liefern z = −1.</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9</w:t>
            </w:r>
          </w:p>
        </w:tc>
        <w:tc>
          <w:tcPr>
            <w:tcW w:type="dxa" w:w="13946"/>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d = −1 / √2 ≈ −0,707; die gewöhnliche Entfernung beträgt etwa 0,707.</w:t>
            </w:r>
          </w:p>
        </w:tc>
      </w:tr>
      <w:tr>
        <w:trPr>
          <w:cantSplit/>
        </w:trPr>
        <w:tc>
          <w:tcPr>
            <w:tcW w:type="dxa" w:w="1191"/>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10</w:t>
            </w:r>
          </w:p>
        </w:tc>
        <w:tc>
          <w:tcPr>
            <w:tcW w:type="dxa" w:w="13946"/>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p = −2 und p = 2 wären keine Wahrscheinlichkeiten. Diese müssen zwischen 0 und 1 liegen.</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11</w:t>
            </w:r>
          </w:p>
        </w:tc>
        <w:tc>
          <w:tcPr>
            <w:tcW w:type="dxa" w:w="13946"/>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σ(−1) ≈ 0,2689 = 26,89 %; σ(2) ≈ 0,8808 = 88,08 %.</w:t>
            </w:r>
          </w:p>
        </w:tc>
      </w:tr>
      <w:tr>
        <w:trPr>
          <w:cantSplit/>
        </w:trPr>
        <w:tc>
          <w:tcPr>
            <w:tcW w:type="dxa" w:w="1191"/>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12</w:t>
            </w:r>
          </w:p>
        </w:tc>
        <w:tc>
          <w:tcPr>
            <w:tcW w:type="dxa" w:w="13946"/>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P(Klasse 0) = 1 − p = 26,9 %.</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13</w:t>
            </w:r>
          </w:p>
        </w:tc>
        <w:tc>
          <w:tcPr>
            <w:tcW w:type="dxa" w:w="13946"/>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Für k = 0,5: 37,8 %; für k = 1: 26,9 %; für k = 3: 4,7 %.</w:t>
            </w:r>
          </w:p>
        </w:tc>
      </w:tr>
      <w:tr>
        <w:trPr>
          <w:cantSplit/>
        </w:trPr>
        <w:tc>
          <w:tcPr>
            <w:tcW w:type="dxa" w:w="1191"/>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14</w:t>
            </w:r>
          </w:p>
        </w:tc>
        <w:tc>
          <w:tcPr>
            <w:tcW w:type="dxa" w:w="13946"/>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Die effektive Breite halbiert sich.</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15</w:t>
            </w:r>
          </w:p>
        </w:tc>
        <w:tc>
          <w:tcPr>
            <w:tcW w:type="dxa" w:w="13946"/>
            <w:vAlign w:val="center"/>
            <w:shd w:fill="FFFFFF"/>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Alle drei Modelle können dieselbe Genauigkeit von 100 % auf den vollständig getrennten Trainingsdaten besitzen. Die Genauigkeit unterscheidet ihre Wahrscheinlichkeiten nicht.</w:t>
            </w:r>
          </w:p>
        </w:tc>
      </w:tr>
      <w:tr>
        <w:trPr>
          <w:cantSplit/>
        </w:trPr>
        <w:tc>
          <w:tcPr>
            <w:tcW w:type="dxa" w:w="1191"/>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jc w:val="center"/>
            </w:pPr>
            <w:r>
              <w:rPr>
                <w:b w:val="0"/>
                <w:sz w:val="19"/>
              </w:rPr>
            </w:r>
            <w:r>
              <w:rPr>
                <w:b w:val="0"/>
                <w:sz w:val="19"/>
              </w:rPr>
              <w:t>16</w:t>
            </w:r>
          </w:p>
        </w:tc>
        <w:tc>
          <w:tcPr>
            <w:tcW w:type="dxa" w:w="13946"/>
            <w:vAlign w:val="center"/>
            <w:shd w:fill="F4F7FA"/>
            <w:tcBorders>
              <w:top w:val="single" w:sz="4" w:color="D9D9D9"/>
              <w:left w:val="single" w:sz="4" w:color="D9D9D9"/>
              <w:bottom w:val="single" w:sz="4" w:color="D9D9D9"/>
              <w:right w:val="single" w:sz="4" w:color="D9D9D9"/>
            </w:tcBorders>
            <w:tcMar>
              <w:top w:w="60" w:type="dxa"/>
              <w:bottom w:w="60" w:type="dxa"/>
              <w:left w:w="100" w:type="dxa"/>
              <w:right w:w="100" w:type="dxa"/>
            </w:tcMar>
          </w:tcPr>
          <w:p>
            <w:pPr>
              <w:spacing w:after="20" w:line="240" w:lineRule="auto"/>
            </w:pPr>
            <w:r>
              <w:rPr>
                <w:b w:val="0"/>
                <w:sz w:val="19"/>
              </w:rPr>
            </w:r>
            <w:r>
              <w:rPr>
                <w:b w:val="0"/>
                <w:sz w:val="19"/>
              </w:rPr>
              <w:t>0,1 · ((−2)² + 2²) = 0,1 · 8 = 0,8.</w:t>
            </w:r>
          </w:p>
        </w:tc>
      </w:tr>
    </w:tbl>
    <w:p>
      <w:pPr>
        <w:spacing w:before="160"/>
      </w:pPr>
      <w:r>
        <w:rPr>
          <w:sz w:val="18"/>
        </w:rPr>
        <w:t>Quellen zur fachlichen Einordnung: [1] Cosma Shalizi, Linear Classifiers and Logistic Regression, Carnegie Mellon University, Vorlesung 2020: https://stat.cmu.edu/~cshalizi/dm/20/lectures/07/lecture-07.html. [2] Trevor Hastie, Robert Tibshirani und Martin Wainwright, Statistical Learning with Sparsity, Abschnitt 3.6.1 Logistic Regression with Separable Data, 2015. Alle Diagramme und Beispielrechnungen wurden für diese Unterrichtssequenz erstellt. Abruf der Onlinequelle am 20. Oktober 2026.</w:t>
      </w:r>
    </w:p>
    <w:sectPr w:rsidR="00FC693F" w:rsidRPr="0006063C" w:rsidSect="00034616">
      <w:footerReference w:type="default" r:id="rId9"/>
      <w:pgSz w:w="16838" w:h="11906" w:orient="landscape"/>
      <w:pgMar w:top="794" w:right="850" w:bottom="765"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Logistische Regression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Logistische Regression unterrichten</dc:title>
  <dc:subject>Unterrichtsmaterial für DQR 5</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