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sz w:val="36"/>
          <w:szCs w:val="36"/>
        </w:rPr>
      </w:pPr>
      <w:r>
        <w:rPr>
          <w:rFonts w:eastAsia="Arial" w:cs="Arial"/>
          <w:b/>
          <w:bCs/>
          <w:color w:val="1B3A5C"/>
          <w:sz w:val="36"/>
          <w:szCs w:val="36"/>
        </w:rPr>
        <w:t>Musterlösung: Convolutional Filter</w:t>
      </w:r>
    </w:p>
    <w:p>
      <w:pPr>
        <w:pStyle w:val="Normal"/>
        <w:pBdr>
          <w:bottom w:val="single" w:sz="8" w:space="0" w:color="2E75B6"/>
        </w:pBdr>
        <w:spacing w:before="0" w:after="60"/>
        <w:rPr>
          <w:sz w:val="22"/>
          <w:szCs w:val="22"/>
        </w:rPr>
      </w:pPr>
      <w:r>
        <w:rPr>
          <w:rFonts w:eastAsia="Arial" w:cs="Arial"/>
          <w:color w:val="2E75B6"/>
          <w:sz w:val="22"/>
          <w:szCs w:val="22"/>
        </w:rPr>
        <w:t>Wie ein neuronales Netz ein Bild "liest"</w:t>
      </w:r>
    </w:p>
    <w:tbl>
      <w:tblPr>
        <w:tblW w:w="10200" w:type="dxa"/>
        <w:jc w:val="start"/>
        <w:tblInd w:w="0" w:type="dxa"/>
        <w:tblLayout w:type="fixed"/>
        <w:tblCellMar>
          <w:top w:w="0" w:type="dxa"/>
          <w:start w:w="108" w:type="dxa"/>
          <w:bottom w:w="0" w:type="dxa"/>
          <w:end w:w="108" w:type="dxa"/>
        </w:tblCellMar>
      </w:tblPr>
      <w:tblGrid>
        <w:gridCol w:w="119"/>
        <w:gridCol w:w="10081"/>
      </w:tblGrid>
      <w:tr>
        <w:trPr/>
        <w:tc>
          <w:tcPr>
            <w:tcW w:w="119" w:type="dxa"/>
            <w:tcBorders/>
            <w:shd w:fill="F9A825" w:val="clear"/>
          </w:tcPr>
          <w:p>
            <w:pPr>
              <w:pStyle w:val="Normal"/>
              <w:rPr/>
            </w:pPr>
            <w:r>
              <w:rPr/>
            </w:r>
          </w:p>
        </w:tc>
        <w:tc>
          <w:tcPr>
            <w:tcW w:w="10081" w:type="dxa"/>
            <w:tcBorders/>
            <w:shd w:fill="FFF8E1" w:val="clear"/>
            <w:tcMar>
              <w:top w:w="80" w:type="dxa"/>
              <w:start w:w="160" w:type="dxa"/>
              <w:bottom w:w="80" w:type="dxa"/>
              <w:end w:w="120" w:type="dxa"/>
            </w:tcMar>
          </w:tcPr>
          <w:p>
            <w:pPr>
              <w:pStyle w:val="Normal"/>
              <w:spacing w:before="60" w:after="60"/>
              <w:jc w:val="start"/>
              <w:rPr>
                <w:sz w:val="18"/>
                <w:szCs w:val="18"/>
              </w:rPr>
            </w:pPr>
            <w:r>
              <w:rPr>
                <w:rFonts w:eastAsia="Arial" w:cs="Arial"/>
                <w:b w:val="false"/>
                <w:bCs w:val="false"/>
                <w:color w:val="000000"/>
                <w:sz w:val="18"/>
                <w:szCs w:val="18"/>
              </w:rPr>
              <w:t>Dieses Dokument ist ausschließlich für Lehrende bestimmt. Es enthält Lösungen, Rechenwege und didaktische Hinweise zu allen Aufgaben des Arbeitsblatts.</w:t>
            </w:r>
          </w:p>
        </w:tc>
      </w:tr>
    </w:tbl>
    <w:p>
      <w:pPr>
        <w:pStyle w:val="Normal"/>
        <w:pBdr>
          <w:bottom w:val="single" w:sz="6" w:space="0" w:color="2E75B6"/>
        </w:pBdr>
        <w:spacing w:before="280" w:after="120"/>
        <w:rPr>
          <w:sz w:val="24"/>
          <w:szCs w:val="24"/>
        </w:rPr>
      </w:pPr>
      <w:r>
        <w:rPr>
          <w:rFonts w:eastAsia="Arial" w:cs="Arial"/>
          <w:b/>
          <w:bCs/>
          <w:color w:val="1B3A5C"/>
          <w:sz w:val="24"/>
          <w:szCs w:val="24"/>
        </w:rPr>
        <w:t>Aufgabe 1 — Berechnung per Hand</w:t>
      </w:r>
    </w:p>
    <w:p>
      <w:pPr>
        <w:pStyle w:val="Normal"/>
        <w:spacing w:before="100" w:after="50"/>
        <w:jc w:val="start"/>
        <w:rPr>
          <w:sz w:val="17"/>
          <w:szCs w:val="17"/>
        </w:rPr>
      </w:pPr>
      <w:r>
        <w:rPr>
          <w:rFonts w:eastAsia="Arial" w:cs="Arial"/>
          <w:b/>
          <w:bCs/>
          <w:color w:val="2E75B6"/>
          <w:sz w:val="17"/>
          <w:szCs w:val="17"/>
        </w:rPr>
        <w:t>Lösung: neun Produkte und Summe</w:t>
      </w:r>
    </w:p>
    <w:p>
      <w:pPr>
        <w:pStyle w:val="Normal"/>
        <w:spacing w:before="80" w:after="60"/>
        <w:jc w:val="start"/>
        <w:rPr>
          <w:sz w:val="18"/>
          <w:szCs w:val="18"/>
        </w:rPr>
      </w:pPr>
      <w:r>
        <w:rPr>
          <w:rFonts w:eastAsia="Arial" w:cs="Arial"/>
          <w:b w:val="false"/>
          <w:bCs w:val="false"/>
          <w:color w:val="000000"/>
          <w:sz w:val="18"/>
          <w:szCs w:val="18"/>
        </w:rPr>
        <w:t>Das Fenster liegt auf den Bildpositionen [0,0] bis [2,2]. Die Werte des 4×4-Ausschnitts an diesen Positionen sind:</w:t>
      </w:r>
    </w:p>
    <w:tbl>
      <w:tblPr>
        <w:tblW w:w="1398" w:type="dxa"/>
        <w:jc w:val="start"/>
        <w:tblInd w:w="0" w:type="dxa"/>
        <w:tblLayout w:type="fixed"/>
        <w:tblCellMar>
          <w:top w:w="40" w:type="dxa"/>
          <w:start w:w="60" w:type="dxa"/>
          <w:bottom w:w="40" w:type="dxa"/>
          <w:end w:w="60" w:type="dxa"/>
        </w:tblCellMar>
      </w:tblPr>
      <w:tblGrid>
        <w:gridCol w:w="466"/>
        <w:gridCol w:w="466"/>
        <w:gridCol w:w="466"/>
      </w:tblGrid>
      <w:tr>
        <w:trPr/>
        <w:tc>
          <w:tcPr>
            <w:tcW w:w="466" w:type="dxa"/>
            <w:tcBorders>
              <w:top w:val="single" w:sz="4" w:space="0" w:color="999999"/>
              <w:start w:val="single" w:sz="4" w:space="0" w:color="999999"/>
              <w:bottom w:val="single" w:sz="4" w:space="0" w:color="000000"/>
              <w:end w:val="single" w:sz="4" w:space="0" w:color="000000"/>
            </w:tcBorders>
            <w:shd w:fill="FFFFFF" w:val="clear"/>
          </w:tcPr>
          <w:p>
            <w:pPr>
              <w:pStyle w:val="Normal"/>
              <w:jc w:val="center"/>
              <w:rPr>
                <w:sz w:val="16"/>
                <w:szCs w:val="16"/>
              </w:rPr>
            </w:pPr>
            <w:r>
              <w:rPr>
                <w:rFonts w:eastAsia="Courier New" w:cs="Courier New" w:ascii="Courier New" w:hAnsi="Courier New"/>
                <w:b w:val="false"/>
                <w:bCs w:val="false"/>
                <w:color w:val="000000"/>
                <w:sz w:val="16"/>
                <w:szCs w:val="16"/>
              </w:rPr>
              <w:t>0,0</w:t>
            </w:r>
          </w:p>
        </w:tc>
        <w:tc>
          <w:tcPr>
            <w:tcW w:w="466" w:type="dxa"/>
            <w:tcBorders>
              <w:top w:val="single" w:sz="4" w:space="0" w:color="999999"/>
              <w:start w:val="single" w:sz="4" w:space="0" w:color="000000"/>
              <w:bottom w:val="single" w:sz="4" w:space="0" w:color="000000"/>
              <w:end w:val="single" w:sz="4" w:space="0" w:color="000000"/>
            </w:tcBorders>
            <w:shd w:fill="FFFFFF" w:val="clear"/>
          </w:tcPr>
          <w:p>
            <w:pPr>
              <w:pStyle w:val="Normal"/>
              <w:jc w:val="center"/>
              <w:rPr>
                <w:sz w:val="16"/>
                <w:szCs w:val="16"/>
              </w:rPr>
            </w:pPr>
            <w:r>
              <w:rPr>
                <w:rFonts w:eastAsia="Courier New" w:cs="Courier New" w:ascii="Courier New" w:hAnsi="Courier New"/>
                <w:b w:val="false"/>
                <w:bCs w:val="false"/>
                <w:color w:val="000000"/>
                <w:sz w:val="16"/>
                <w:szCs w:val="16"/>
              </w:rPr>
              <w:t>0,0</w:t>
            </w:r>
          </w:p>
        </w:tc>
        <w:tc>
          <w:tcPr>
            <w:tcW w:w="466" w:type="dxa"/>
            <w:tcBorders>
              <w:top w:val="single" w:sz="4" w:space="0" w:color="999999"/>
              <w:start w:val="single" w:sz="4" w:space="0" w:color="000000"/>
              <w:bottom w:val="single" w:sz="4" w:space="0" w:color="000000"/>
              <w:end w:val="single" w:sz="4" w:space="0" w:color="999999"/>
            </w:tcBorders>
            <w:shd w:fill="FFFFFF" w:val="clear"/>
          </w:tcPr>
          <w:p>
            <w:pPr>
              <w:pStyle w:val="Normal"/>
              <w:jc w:val="center"/>
              <w:rPr>
                <w:sz w:val="16"/>
                <w:szCs w:val="16"/>
              </w:rPr>
            </w:pPr>
            <w:r>
              <w:rPr>
                <w:rFonts w:eastAsia="Courier New" w:cs="Courier New" w:ascii="Courier New" w:hAnsi="Courier New"/>
                <w:b w:val="false"/>
                <w:bCs w:val="false"/>
                <w:color w:val="000000"/>
                <w:sz w:val="16"/>
                <w:szCs w:val="16"/>
              </w:rPr>
              <w:t>0,0</w:t>
            </w:r>
          </w:p>
        </w:tc>
      </w:tr>
      <w:tr>
        <w:trPr/>
        <w:tc>
          <w:tcPr>
            <w:tcW w:w="466" w:type="dxa"/>
            <w:tcBorders>
              <w:top w:val="single" w:sz="4" w:space="0" w:color="000000"/>
              <w:start w:val="single" w:sz="4" w:space="0" w:color="999999"/>
              <w:bottom w:val="single" w:sz="4" w:space="0" w:color="000000"/>
              <w:end w:val="single" w:sz="4" w:space="0" w:color="000000"/>
            </w:tcBorders>
            <w:shd w:fill="FFFFFF" w:val="clear"/>
          </w:tcPr>
          <w:p>
            <w:pPr>
              <w:pStyle w:val="Normal"/>
              <w:jc w:val="center"/>
              <w:rPr>
                <w:sz w:val="16"/>
                <w:szCs w:val="16"/>
              </w:rPr>
            </w:pPr>
            <w:r>
              <w:rPr>
                <w:rFonts w:eastAsia="Courier New" w:cs="Courier New" w:ascii="Courier New" w:hAnsi="Courier New"/>
                <w:b w:val="false"/>
                <w:bCs w:val="false"/>
                <w:color w:val="000000"/>
                <w:sz w:val="16"/>
                <w:szCs w:val="16"/>
              </w:rPr>
              <w:t>0,0</w:t>
            </w:r>
          </w:p>
        </w:tc>
        <w:tc>
          <w:tcPr>
            <w:tcW w:w="466" w:type="dxa"/>
            <w:tcBorders>
              <w:top w:val="single" w:sz="4" w:space="0" w:color="000000"/>
              <w:start w:val="single" w:sz="4" w:space="0" w:color="000000"/>
              <w:bottom w:val="single" w:sz="4" w:space="0" w:color="000000"/>
              <w:end w:val="single" w:sz="4" w:space="0" w:color="000000"/>
            </w:tcBorders>
            <w:shd w:fill="C8E6C9" w:val="clear"/>
          </w:tcPr>
          <w:p>
            <w:pPr>
              <w:pStyle w:val="Normal"/>
              <w:jc w:val="center"/>
              <w:rPr>
                <w:sz w:val="16"/>
                <w:szCs w:val="16"/>
              </w:rPr>
            </w:pPr>
            <w:r>
              <w:rPr>
                <w:rFonts w:eastAsia="Courier New" w:cs="Courier New" w:ascii="Courier New" w:hAnsi="Courier New"/>
                <w:b/>
                <w:bCs/>
                <w:color w:val="388E3C"/>
                <w:sz w:val="16"/>
                <w:szCs w:val="16"/>
              </w:rPr>
              <w:t>1,0</w:t>
            </w:r>
          </w:p>
        </w:tc>
        <w:tc>
          <w:tcPr>
            <w:tcW w:w="466" w:type="dxa"/>
            <w:tcBorders>
              <w:top w:val="single" w:sz="4" w:space="0" w:color="000000"/>
              <w:start w:val="single" w:sz="4" w:space="0" w:color="000000"/>
              <w:bottom w:val="single" w:sz="4" w:space="0" w:color="000000"/>
              <w:end w:val="single" w:sz="4" w:space="0" w:color="999999"/>
            </w:tcBorders>
            <w:shd w:fill="C8E6C9" w:val="clear"/>
          </w:tcPr>
          <w:p>
            <w:pPr>
              <w:pStyle w:val="Normal"/>
              <w:jc w:val="center"/>
              <w:rPr>
                <w:sz w:val="16"/>
                <w:szCs w:val="16"/>
              </w:rPr>
            </w:pPr>
            <w:r>
              <w:rPr>
                <w:rFonts w:eastAsia="Courier New" w:cs="Courier New" w:ascii="Courier New" w:hAnsi="Courier New"/>
                <w:b/>
                <w:bCs/>
                <w:color w:val="388E3C"/>
                <w:sz w:val="16"/>
                <w:szCs w:val="16"/>
              </w:rPr>
              <w:t>1,0</w:t>
            </w:r>
          </w:p>
        </w:tc>
      </w:tr>
      <w:tr>
        <w:trPr/>
        <w:tc>
          <w:tcPr>
            <w:tcW w:w="466" w:type="dxa"/>
            <w:tcBorders>
              <w:top w:val="single" w:sz="4" w:space="0" w:color="000000"/>
              <w:start w:val="single" w:sz="4" w:space="0" w:color="999999"/>
              <w:bottom w:val="single" w:sz="4" w:space="0" w:color="999999"/>
              <w:end w:val="single" w:sz="4" w:space="0" w:color="000000"/>
            </w:tcBorders>
            <w:shd w:fill="FFFFFF" w:val="clear"/>
          </w:tcPr>
          <w:p>
            <w:pPr>
              <w:pStyle w:val="Normal"/>
              <w:jc w:val="center"/>
              <w:rPr>
                <w:sz w:val="16"/>
                <w:szCs w:val="16"/>
              </w:rPr>
            </w:pPr>
            <w:r>
              <w:rPr>
                <w:rFonts w:eastAsia="Courier New" w:cs="Courier New" w:ascii="Courier New" w:hAnsi="Courier New"/>
                <w:b w:val="false"/>
                <w:bCs w:val="false"/>
                <w:color w:val="000000"/>
                <w:sz w:val="16"/>
                <w:szCs w:val="16"/>
              </w:rPr>
              <w:t>0,0</w:t>
            </w:r>
          </w:p>
        </w:tc>
        <w:tc>
          <w:tcPr>
            <w:tcW w:w="466" w:type="dxa"/>
            <w:tcBorders>
              <w:top w:val="single" w:sz="4" w:space="0" w:color="000000"/>
              <w:start w:val="single" w:sz="4" w:space="0" w:color="000000"/>
              <w:bottom w:val="single" w:sz="4" w:space="0" w:color="999999"/>
              <w:end w:val="single" w:sz="4" w:space="0" w:color="000000"/>
            </w:tcBorders>
            <w:shd w:fill="C8E6C9" w:val="clear"/>
          </w:tcPr>
          <w:p>
            <w:pPr>
              <w:pStyle w:val="Normal"/>
              <w:jc w:val="center"/>
              <w:rPr>
                <w:sz w:val="16"/>
                <w:szCs w:val="16"/>
              </w:rPr>
            </w:pPr>
            <w:r>
              <w:rPr>
                <w:rFonts w:eastAsia="Courier New" w:cs="Courier New" w:ascii="Courier New" w:hAnsi="Courier New"/>
                <w:b/>
                <w:bCs/>
                <w:color w:val="388E3C"/>
                <w:sz w:val="16"/>
                <w:szCs w:val="16"/>
              </w:rPr>
              <w:t>1,0</w:t>
            </w:r>
          </w:p>
        </w:tc>
        <w:tc>
          <w:tcPr>
            <w:tcW w:w="466" w:type="dxa"/>
            <w:tcBorders>
              <w:top w:val="single" w:sz="4" w:space="0" w:color="000000"/>
              <w:start w:val="single" w:sz="4" w:space="0" w:color="000000"/>
              <w:bottom w:val="single" w:sz="4" w:space="0" w:color="999999"/>
              <w:end w:val="single" w:sz="4" w:space="0" w:color="999999"/>
            </w:tcBorders>
            <w:shd w:fill="C8E6C9" w:val="clear"/>
          </w:tcPr>
          <w:p>
            <w:pPr>
              <w:pStyle w:val="Normal"/>
              <w:jc w:val="center"/>
              <w:rPr>
                <w:sz w:val="16"/>
                <w:szCs w:val="16"/>
              </w:rPr>
            </w:pPr>
            <w:r>
              <w:rPr>
                <w:rFonts w:eastAsia="Courier New" w:cs="Courier New" w:ascii="Courier New" w:hAnsi="Courier New"/>
                <w:b/>
                <w:bCs/>
                <w:color w:val="388E3C"/>
                <w:sz w:val="16"/>
                <w:szCs w:val="16"/>
              </w:rPr>
              <w:t>1,0</w:t>
            </w:r>
          </w:p>
        </w:tc>
      </w:tr>
    </w:tbl>
    <w:p>
      <w:pPr>
        <w:pStyle w:val="Normal"/>
        <w:spacing w:before="60" w:after="60"/>
        <w:rPr>
          <w:sz w:val="18"/>
          <w:szCs w:val="18"/>
        </w:rPr>
      </w:pPr>
      <w:r>
        <w:rPr>
          <w:sz w:val="18"/>
          <w:szCs w:val="18"/>
        </w:rPr>
      </w:r>
    </w:p>
    <w:p>
      <w:pPr>
        <w:pStyle w:val="Normal"/>
        <w:spacing w:before="80" w:after="50"/>
        <w:jc w:val="start"/>
        <w:rPr>
          <w:sz w:val="18"/>
          <w:szCs w:val="18"/>
        </w:rPr>
      </w:pPr>
      <w:r>
        <w:rPr>
          <w:rFonts w:eastAsia="Arial" w:cs="Arial"/>
          <w:b w:val="false"/>
          <w:bCs w:val="false"/>
          <w:color w:val="000000"/>
          <w:sz w:val="18"/>
          <w:szCs w:val="18"/>
        </w:rPr>
        <w:t>Elementweise Multiplikation mit dem Schärfungskernel:</w:t>
      </w:r>
    </w:p>
    <w:p>
      <w:pPr>
        <w:pStyle w:val="Normal"/>
        <w:spacing w:before="40" w:after="20"/>
        <w:rPr>
          <w:sz w:val="17"/>
          <w:szCs w:val="17"/>
        </w:rPr>
      </w:pPr>
      <w:r>
        <w:rPr>
          <w:rFonts w:eastAsia="Courier New" w:cs="Courier New" w:ascii="Courier New" w:hAnsi="Courier New"/>
          <w:color w:val="388E3C"/>
          <w:sz w:val="17"/>
          <w:szCs w:val="17"/>
        </w:rPr>
        <w:t>0,0 × 0    = 0,00</w:t>
      </w:r>
    </w:p>
    <w:p>
      <w:pPr>
        <w:pStyle w:val="Normal"/>
        <w:spacing w:before="0" w:after="20"/>
        <w:rPr>
          <w:sz w:val="17"/>
          <w:szCs w:val="17"/>
        </w:rPr>
      </w:pPr>
      <w:r>
        <w:rPr>
          <w:rFonts w:eastAsia="Courier New" w:cs="Courier New" w:ascii="Courier New" w:hAnsi="Courier New"/>
          <w:color w:val="388E3C"/>
          <w:sz w:val="17"/>
          <w:szCs w:val="17"/>
        </w:rPr>
        <w:t>0,0 × (−1) = 0,00</w:t>
      </w:r>
    </w:p>
    <w:p>
      <w:pPr>
        <w:pStyle w:val="Normal"/>
        <w:spacing w:before="0" w:after="20"/>
        <w:rPr>
          <w:sz w:val="17"/>
          <w:szCs w:val="17"/>
        </w:rPr>
      </w:pPr>
      <w:r>
        <w:rPr>
          <w:rFonts w:eastAsia="Courier New" w:cs="Courier New" w:ascii="Courier New" w:hAnsi="Courier New"/>
          <w:color w:val="388E3C"/>
          <w:sz w:val="17"/>
          <w:szCs w:val="17"/>
        </w:rPr>
        <w:t>0,0 × 0    = 0,00</w:t>
      </w:r>
    </w:p>
    <w:p>
      <w:pPr>
        <w:pStyle w:val="Normal"/>
        <w:spacing w:before="0" w:after="20"/>
        <w:rPr>
          <w:sz w:val="17"/>
          <w:szCs w:val="17"/>
        </w:rPr>
      </w:pPr>
      <w:r>
        <w:rPr>
          <w:rFonts w:eastAsia="Courier New" w:cs="Courier New" w:ascii="Courier New" w:hAnsi="Courier New"/>
          <w:color w:val="388E3C"/>
          <w:sz w:val="17"/>
          <w:szCs w:val="17"/>
        </w:rPr>
        <w:t>0,0 × (−1) = 0,00</w:t>
      </w:r>
    </w:p>
    <w:p>
      <w:pPr>
        <w:pStyle w:val="Normal"/>
        <w:spacing w:before="0" w:after="20"/>
        <w:rPr>
          <w:sz w:val="17"/>
          <w:szCs w:val="17"/>
        </w:rPr>
      </w:pPr>
      <w:r>
        <w:rPr>
          <w:rFonts w:eastAsia="Courier New" w:cs="Courier New" w:ascii="Courier New" w:hAnsi="Courier New"/>
          <w:color w:val="388E3C"/>
          <w:sz w:val="17"/>
          <w:szCs w:val="17"/>
        </w:rPr>
        <w:t>1,0 × 5    = 5,00   ← Mittelpunkt</w:t>
      </w:r>
    </w:p>
    <w:p>
      <w:pPr>
        <w:pStyle w:val="Normal"/>
        <w:spacing w:before="0" w:after="20"/>
        <w:rPr>
          <w:sz w:val="17"/>
          <w:szCs w:val="17"/>
        </w:rPr>
      </w:pPr>
      <w:r>
        <w:rPr>
          <w:rFonts w:eastAsia="Courier New" w:cs="Courier New" w:ascii="Courier New" w:hAnsi="Courier New"/>
          <w:color w:val="388E3C"/>
          <w:sz w:val="17"/>
          <w:szCs w:val="17"/>
        </w:rPr>
        <w:t>1,0 × (−1) = −1,00</w:t>
      </w:r>
    </w:p>
    <w:p>
      <w:pPr>
        <w:pStyle w:val="Normal"/>
        <w:spacing w:before="0" w:after="20"/>
        <w:rPr>
          <w:sz w:val="17"/>
          <w:szCs w:val="17"/>
        </w:rPr>
      </w:pPr>
      <w:r>
        <w:rPr>
          <w:rFonts w:eastAsia="Courier New" w:cs="Courier New" w:ascii="Courier New" w:hAnsi="Courier New"/>
          <w:color w:val="388E3C"/>
          <w:sz w:val="17"/>
          <w:szCs w:val="17"/>
        </w:rPr>
        <w:t>0,0 × 0    = 0,00</w:t>
      </w:r>
    </w:p>
    <w:p>
      <w:pPr>
        <w:pStyle w:val="Normal"/>
        <w:spacing w:before="0" w:after="20"/>
        <w:rPr>
          <w:sz w:val="17"/>
          <w:szCs w:val="17"/>
        </w:rPr>
      </w:pPr>
      <w:r>
        <w:rPr>
          <w:rFonts w:eastAsia="Courier New" w:cs="Courier New" w:ascii="Courier New" w:hAnsi="Courier New"/>
          <w:color w:val="388E3C"/>
          <w:sz w:val="17"/>
          <w:szCs w:val="17"/>
        </w:rPr>
        <w:t>1,0 × (−1) = −1,00</w:t>
      </w:r>
    </w:p>
    <w:p>
      <w:pPr>
        <w:pStyle w:val="Normal"/>
        <w:spacing w:before="0" w:after="60"/>
        <w:rPr>
          <w:sz w:val="17"/>
          <w:szCs w:val="17"/>
        </w:rPr>
      </w:pPr>
      <w:r>
        <w:rPr>
          <w:rFonts w:eastAsia="Courier New" w:cs="Courier New" w:ascii="Courier New" w:hAnsi="Courier New"/>
          <w:color w:val="388E3C"/>
          <w:sz w:val="17"/>
          <w:szCs w:val="17"/>
        </w:rPr>
        <w:t>1,0 × 0    = 0,00</w:t>
      </w:r>
    </w:p>
    <w:p>
      <w:pPr>
        <w:pStyle w:val="Normal"/>
        <w:pBdr>
          <w:top w:val="single" w:sz="4" w:space="0" w:color="999999"/>
        </w:pBdr>
        <w:spacing w:before="0" w:after="80"/>
        <w:rPr>
          <w:sz w:val="19"/>
          <w:szCs w:val="19"/>
        </w:rPr>
      </w:pPr>
      <w:r>
        <w:rPr>
          <w:rFonts w:eastAsia="Courier New" w:cs="Courier New" w:ascii="Courier New" w:hAnsi="Courier New"/>
          <w:b/>
          <w:bCs/>
          <w:color w:val="388E3C"/>
          <w:sz w:val="19"/>
          <w:szCs w:val="19"/>
        </w:rPr>
        <w:t>Σ = 3,00</w:t>
      </w:r>
    </w:p>
    <w:p>
      <w:pPr>
        <w:pStyle w:val="Normal"/>
        <w:spacing w:before="60" w:after="60"/>
        <w:rPr>
          <w:sz w:val="18"/>
          <w:szCs w:val="18"/>
        </w:rPr>
      </w:pPr>
      <w:r>
        <w:rPr>
          <w:sz w:val="18"/>
          <w:szCs w:val="18"/>
        </w:rPr>
      </w:r>
    </w:p>
    <w:p>
      <w:pPr>
        <w:pStyle w:val="Normal"/>
        <w:spacing w:before="100" w:after="50"/>
        <w:jc w:val="start"/>
        <w:rPr>
          <w:sz w:val="17"/>
          <w:szCs w:val="17"/>
        </w:rPr>
      </w:pPr>
      <w:r>
        <w:rPr>
          <w:rFonts w:eastAsia="Arial" w:cs="Arial"/>
          <w:b/>
          <w:bCs/>
          <w:color w:val="2E75B6"/>
          <w:sz w:val="17"/>
          <w:szCs w:val="17"/>
        </w:rPr>
        <w:t>Was beschreibt dieser Kernel?</w:t>
      </w:r>
    </w:p>
    <w:tbl>
      <w:tblPr>
        <w:tblW w:w="10263" w:type="dxa"/>
        <w:jc w:val="start"/>
        <w:tblInd w:w="0" w:type="dxa"/>
        <w:tblLayout w:type="fixed"/>
        <w:tblCellMar>
          <w:top w:w="0" w:type="dxa"/>
          <w:start w:w="108" w:type="dxa"/>
          <w:bottom w:w="0" w:type="dxa"/>
          <w:end w:w="108" w:type="dxa"/>
        </w:tblCellMar>
      </w:tblPr>
      <w:tblGrid>
        <w:gridCol w:w="119"/>
        <w:gridCol w:w="10144"/>
      </w:tblGrid>
      <w:tr>
        <w:trPr/>
        <w:tc>
          <w:tcPr>
            <w:tcW w:w="119" w:type="dxa"/>
            <w:tcBorders/>
            <w:shd w:fill="388E3C" w:val="clear"/>
          </w:tcPr>
          <w:p>
            <w:pPr>
              <w:pStyle w:val="Normal"/>
              <w:rPr/>
            </w:pPr>
            <w:r>
              <w:rPr/>
            </w:r>
          </w:p>
        </w:tc>
        <w:tc>
          <w:tcPr>
            <w:tcW w:w="10144" w:type="dxa"/>
            <w:tcBorders/>
            <w:shd w:fill="E8F5E9" w:val="clear"/>
            <w:tcMar>
              <w:top w:w="80" w:type="dxa"/>
              <w:start w:w="160" w:type="dxa"/>
              <w:bottom w:w="80" w:type="dxa"/>
              <w:end w:w="120" w:type="dxa"/>
            </w:tcMar>
          </w:tcPr>
          <w:p>
            <w:pPr>
              <w:pStyle w:val="Normal"/>
              <w:spacing w:before="60" w:after="60"/>
              <w:jc w:val="start"/>
              <w:rPr>
                <w:sz w:val="18"/>
                <w:szCs w:val="18"/>
              </w:rPr>
            </w:pPr>
            <w:r>
              <w:rPr>
                <w:rFonts w:eastAsia="Arial" w:cs="Arial"/>
                <w:b w:val="false"/>
                <w:bCs w:val="false"/>
                <w:color w:val="000000"/>
                <w:sz w:val="18"/>
                <w:szCs w:val="18"/>
              </w:rPr>
              <w:t>Der Schärfungskernel verstärkt den Mittelpunkt stark (Faktor 5) und zieht von den vier direkten Nachbarn (oben, unten, links, rechts) jeweils etwas ab (Faktor −1). Er hebt lokale Unterschiede hervor und macht Kanten und Feinstrukturen im Bild deutlicher sichtbar. Gleichmäßige Flächen (alle Nachbarn gleich) liefern kleine Ausgabewerte; Übergänge liefern große.</w:t>
            </w:r>
          </w:p>
        </w:tc>
      </w:tr>
    </w:tbl>
    <w:p>
      <w:pPr>
        <w:pStyle w:val="Normal"/>
        <w:pBdr>
          <w:bottom w:val="single" w:sz="6" w:space="0" w:color="2E75B6"/>
        </w:pBdr>
        <w:spacing w:before="280" w:after="120"/>
        <w:rPr>
          <w:sz w:val="24"/>
          <w:szCs w:val="24"/>
        </w:rPr>
      </w:pPr>
      <w:r>
        <w:rPr>
          <w:rFonts w:eastAsia="Arial" w:cs="Arial"/>
          <w:b/>
          <w:bCs/>
          <w:color w:val="1B3A5C"/>
          <w:sz w:val="24"/>
          <w:szCs w:val="24"/>
        </w:rPr>
        <w:t>Aufgabe 2 — Größe der Feature Map</w:t>
      </w:r>
    </w:p>
    <w:p>
      <w:pPr>
        <w:pStyle w:val="Normal"/>
        <w:spacing w:before="100" w:after="50"/>
        <w:jc w:val="start"/>
        <w:rPr>
          <w:sz w:val="17"/>
          <w:szCs w:val="17"/>
        </w:rPr>
      </w:pPr>
      <w:r>
        <w:rPr>
          <w:rFonts w:eastAsia="Arial" w:cs="Arial"/>
          <w:b/>
          <w:bCs/>
          <w:color w:val="2E75B6"/>
          <w:sz w:val="17"/>
          <w:szCs w:val="17"/>
        </w:rPr>
        <w:t>Formel:  Output = ⌊ (n − k + 2p) / s ⌋ + 1</w:t>
      </w:r>
    </w:p>
    <w:tbl>
      <w:tblPr>
        <w:tblW w:w="10263" w:type="dxa"/>
        <w:jc w:val="start"/>
        <w:tblInd w:w="0" w:type="dxa"/>
        <w:tblLayout w:type="fixed"/>
        <w:tblCellMar>
          <w:top w:w="0" w:type="dxa"/>
          <w:start w:w="108" w:type="dxa"/>
          <w:bottom w:w="0" w:type="dxa"/>
          <w:end w:w="108" w:type="dxa"/>
        </w:tblCellMar>
      </w:tblPr>
      <w:tblGrid>
        <w:gridCol w:w="119"/>
        <w:gridCol w:w="10144"/>
      </w:tblGrid>
      <w:tr>
        <w:trPr/>
        <w:tc>
          <w:tcPr>
            <w:tcW w:w="119" w:type="dxa"/>
            <w:tcBorders/>
            <w:shd w:fill="388E3C" w:val="clear"/>
          </w:tcPr>
          <w:p>
            <w:pPr>
              <w:pStyle w:val="Normal"/>
              <w:rPr/>
            </w:pPr>
            <w:r>
              <w:rPr/>
            </w:r>
          </w:p>
        </w:tc>
        <w:tc>
          <w:tcPr>
            <w:tcW w:w="10144" w:type="dxa"/>
            <w:tcBorders/>
            <w:shd w:fill="E8F5E9" w:val="clear"/>
            <w:tcMar>
              <w:top w:w="80" w:type="dxa"/>
              <w:start w:w="160" w:type="dxa"/>
              <w:bottom w:w="80" w:type="dxa"/>
              <w:end w:w="120" w:type="dxa"/>
            </w:tcMar>
          </w:tcPr>
          <w:p>
            <w:pPr>
              <w:pStyle w:val="Normal"/>
              <w:spacing w:before="60" w:after="30"/>
              <w:jc w:val="start"/>
              <w:rPr>
                <w:sz w:val="18"/>
                <w:szCs w:val="18"/>
              </w:rPr>
            </w:pPr>
            <w:r>
              <w:rPr>
                <w:rFonts w:eastAsia="Courier New" w:cs="Courier New" w:ascii="Courier New" w:hAnsi="Courier New"/>
                <w:b w:val="false"/>
                <w:bCs w:val="false"/>
                <w:color w:val="000000"/>
                <w:sz w:val="18"/>
                <w:szCs w:val="18"/>
              </w:rPr>
              <w:t xml:space="preserve">a)  n=8, k=3, p=0, s=1:  (8 − 3 + 0) / 1 + 1 = </w:t>
            </w:r>
            <w:r>
              <w:rPr>
                <w:rFonts w:eastAsia="Courier New" w:cs="Courier New" w:ascii="Courier New" w:hAnsi="Courier New"/>
                <w:b/>
                <w:bCs/>
                <w:color w:val="000000"/>
                <w:sz w:val="18"/>
                <w:szCs w:val="18"/>
              </w:rPr>
              <w:t>6 × 6</w:t>
            </w:r>
          </w:p>
          <w:p>
            <w:pPr>
              <w:pStyle w:val="Normal"/>
              <w:spacing w:before="0" w:after="30"/>
              <w:jc w:val="start"/>
              <w:rPr>
                <w:sz w:val="18"/>
                <w:szCs w:val="18"/>
              </w:rPr>
            </w:pPr>
            <w:r>
              <w:rPr>
                <w:rFonts w:eastAsia="Courier New" w:cs="Courier New" w:ascii="Courier New" w:hAnsi="Courier New"/>
                <w:b w:val="false"/>
                <w:bCs w:val="false"/>
                <w:color w:val="000000"/>
                <w:sz w:val="18"/>
                <w:szCs w:val="18"/>
              </w:rPr>
              <w:t xml:space="preserve">b)  n=8, k=3, p=1, s=1:  (8 − 3 + 2) / 1 + 1 = </w:t>
            </w:r>
            <w:r>
              <w:rPr>
                <w:rFonts w:eastAsia="Courier New" w:cs="Courier New" w:ascii="Courier New" w:hAnsi="Courier New"/>
                <w:b/>
                <w:bCs/>
                <w:color w:val="000000"/>
                <w:sz w:val="18"/>
                <w:szCs w:val="18"/>
              </w:rPr>
              <w:t>8 × 8</w:t>
            </w:r>
            <w:r>
              <w:rPr>
                <w:rFonts w:eastAsia="Courier New" w:cs="Courier New" w:ascii="Courier New" w:hAnsi="Courier New"/>
                <w:b w:val="false"/>
                <w:bCs w:val="false"/>
                <w:color w:val="000000"/>
                <w:sz w:val="18"/>
                <w:szCs w:val="18"/>
              </w:rPr>
              <w:t xml:space="preserve">  (Same → Ausgabe = Eingabe)</w:t>
            </w:r>
          </w:p>
          <w:p>
            <w:pPr>
              <w:pStyle w:val="Normal"/>
              <w:spacing w:before="0" w:after="30"/>
              <w:jc w:val="start"/>
              <w:rPr>
                <w:sz w:val="18"/>
                <w:szCs w:val="18"/>
              </w:rPr>
            </w:pPr>
            <w:r>
              <w:rPr>
                <w:rFonts w:eastAsia="Courier New" w:cs="Courier New" w:ascii="Courier New" w:hAnsi="Courier New"/>
                <w:b w:val="false"/>
                <w:bCs w:val="false"/>
                <w:color w:val="000000"/>
                <w:sz w:val="18"/>
                <w:szCs w:val="18"/>
              </w:rPr>
              <w:t xml:space="preserve">c)  n=8, k=5, p=0, s=1:  (8 − 5 + 0) / 1 + 1 = </w:t>
            </w:r>
            <w:r>
              <w:rPr>
                <w:rFonts w:eastAsia="Courier New" w:cs="Courier New" w:ascii="Courier New" w:hAnsi="Courier New"/>
                <w:b/>
                <w:bCs/>
                <w:color w:val="000000"/>
                <w:sz w:val="18"/>
                <w:szCs w:val="18"/>
              </w:rPr>
              <w:t>4 × 4</w:t>
            </w:r>
          </w:p>
          <w:p>
            <w:pPr>
              <w:pStyle w:val="Normal"/>
              <w:spacing w:before="0" w:after="30"/>
              <w:jc w:val="start"/>
              <w:rPr>
                <w:sz w:val="18"/>
                <w:szCs w:val="18"/>
              </w:rPr>
            </w:pPr>
            <w:r>
              <w:rPr>
                <w:rFonts w:eastAsia="Courier New" w:cs="Courier New" w:ascii="Courier New" w:hAnsi="Courier New"/>
                <w:b w:val="false"/>
                <w:bCs w:val="false"/>
                <w:color w:val="000000"/>
                <w:sz w:val="18"/>
                <w:szCs w:val="18"/>
              </w:rPr>
              <w:t xml:space="preserve">d)  n=16, k=3, p=0, s=2:  ⌊(16 − 3 + 0) / 2⌋ + 1 = ⌊6,5⌋ + 1 = </w:t>
            </w:r>
            <w:r>
              <w:rPr>
                <w:rFonts w:eastAsia="Courier New" w:cs="Courier New" w:ascii="Courier New" w:hAnsi="Courier New"/>
                <w:b/>
                <w:bCs/>
                <w:color w:val="000000"/>
                <w:sz w:val="18"/>
                <w:szCs w:val="18"/>
              </w:rPr>
              <w:t>7 × 7</w:t>
            </w:r>
          </w:p>
          <w:p>
            <w:pPr>
              <w:pStyle w:val="Normal"/>
              <w:spacing w:before="0" w:after="60"/>
              <w:jc w:val="start"/>
              <w:rPr>
                <w:sz w:val="18"/>
                <w:szCs w:val="18"/>
              </w:rPr>
            </w:pPr>
            <w:r>
              <w:rPr>
                <w:rFonts w:eastAsia="Arial" w:cs="Arial"/>
                <w:b w:val="false"/>
                <w:bCs w:val="false"/>
                <w:color w:val="388E3C"/>
                <w:sz w:val="18"/>
                <w:szCs w:val="18"/>
              </w:rPr>
              <w:t>e)  Schicht 1: (8−3+0)/1+1 = 6×6     Schicht 2: (6−3+0)/1+1 = 4×4</w:t>
            </w:r>
          </w:p>
        </w:tc>
      </w:tr>
    </w:tbl>
    <w:p>
      <w:pPr>
        <w:pStyle w:val="Normal"/>
        <w:spacing w:before="60" w:after="60"/>
        <w:rPr>
          <w:sz w:val="18"/>
          <w:szCs w:val="18"/>
        </w:rPr>
      </w:pPr>
      <w:r>
        <w:rPr>
          <w:sz w:val="18"/>
          <w:szCs w:val="18"/>
        </w:rPr>
      </w:r>
    </w:p>
    <w:p>
      <w:pPr>
        <w:pStyle w:val="Normal"/>
        <w:spacing w:before="40" w:after="60"/>
        <w:jc w:val="start"/>
        <w:rPr>
          <w:sz w:val="16"/>
          <w:szCs w:val="16"/>
        </w:rPr>
      </w:pPr>
      <w:r>
        <w:rPr>
          <w:rFonts w:eastAsia="Arial" w:cs="Arial"/>
          <w:b w:val="false"/>
          <w:bCs w:val="false"/>
          <w:color w:val="555555"/>
          <w:sz w:val="16"/>
          <w:szCs w:val="16"/>
        </w:rPr>
        <w:t>Zu e): Jede Faltungsschicht ohne Padding verkleinert die Feature Map um (k−1) Pixel je Dimension. Bei k=3 sind das 2 Pixel pro Schicht. Bei tiefen Netzen wird deshalb häufig Padding "Same" verwendet oder die Eingabe ist deutlich größer als im hier verwendeten 8×8-Beispiel.</w:t>
      </w:r>
    </w:p>
    <w:p>
      <w:pPr>
        <w:pStyle w:val="Normal"/>
        <w:pBdr>
          <w:bottom w:val="single" w:sz="6" w:space="0" w:color="2E75B6"/>
        </w:pBdr>
        <w:spacing w:before="280" w:after="120"/>
        <w:rPr>
          <w:sz w:val="24"/>
          <w:szCs w:val="24"/>
        </w:rPr>
      </w:pPr>
      <w:r>
        <w:rPr>
          <w:rFonts w:eastAsia="Arial" w:cs="Arial"/>
          <w:b/>
          <w:bCs/>
          <w:color w:val="1B3A5C"/>
          <w:sz w:val="24"/>
          <w:szCs w:val="24"/>
        </w:rPr>
        <w:t>Aufgabe 3 — Rezeptives Feld</w:t>
      </w:r>
    </w:p>
    <w:p>
      <w:pPr>
        <w:pStyle w:val="Normal"/>
        <w:spacing w:before="100" w:after="50"/>
        <w:jc w:val="start"/>
        <w:rPr>
          <w:sz w:val="17"/>
          <w:szCs w:val="17"/>
        </w:rPr>
      </w:pPr>
      <w:r>
        <w:rPr>
          <w:rFonts w:eastAsia="Arial" w:cs="Arial"/>
          <w:b/>
          <w:bCs/>
          <w:color w:val="2E75B6"/>
          <w:sz w:val="17"/>
          <w:szCs w:val="17"/>
        </w:rPr>
        <w:t>Formel:  RF = (k − 1) × L + 1</w:t>
      </w:r>
    </w:p>
    <w:tbl>
      <w:tblPr>
        <w:tblW w:w="10263" w:type="dxa"/>
        <w:jc w:val="start"/>
        <w:tblInd w:w="0" w:type="dxa"/>
        <w:tblLayout w:type="fixed"/>
        <w:tblCellMar>
          <w:top w:w="0" w:type="dxa"/>
          <w:start w:w="108" w:type="dxa"/>
          <w:bottom w:w="0" w:type="dxa"/>
          <w:end w:w="108" w:type="dxa"/>
        </w:tblCellMar>
      </w:tblPr>
      <w:tblGrid>
        <w:gridCol w:w="119"/>
        <w:gridCol w:w="10144"/>
      </w:tblGrid>
      <w:tr>
        <w:trPr/>
        <w:tc>
          <w:tcPr>
            <w:tcW w:w="119" w:type="dxa"/>
            <w:tcBorders/>
            <w:shd w:fill="388E3C" w:val="clear"/>
          </w:tcPr>
          <w:p>
            <w:pPr>
              <w:pStyle w:val="Normal"/>
              <w:rPr/>
            </w:pPr>
            <w:r>
              <w:rPr/>
            </w:r>
          </w:p>
        </w:tc>
        <w:tc>
          <w:tcPr>
            <w:tcW w:w="10144" w:type="dxa"/>
            <w:tcBorders/>
            <w:shd w:fill="E8F5E9" w:val="clear"/>
            <w:tcMar>
              <w:top w:w="80" w:type="dxa"/>
              <w:start w:w="160" w:type="dxa"/>
              <w:bottom w:w="80" w:type="dxa"/>
              <w:end w:w="120" w:type="dxa"/>
            </w:tcMar>
          </w:tcPr>
          <w:p>
            <w:pPr>
              <w:pStyle w:val="Normal"/>
              <w:spacing w:before="60" w:after="60"/>
              <w:jc w:val="start"/>
              <w:rPr>
                <w:sz w:val="18"/>
                <w:szCs w:val="18"/>
              </w:rPr>
            </w:pPr>
            <w:r>
              <w:rPr>
                <w:rFonts w:eastAsia="Courier New" w:cs="Courier New" w:ascii="Courier New" w:hAnsi="Courier New"/>
                <w:b w:val="false"/>
                <w:bCs w:val="false"/>
                <w:color w:val="000000"/>
                <w:sz w:val="18"/>
                <w:szCs w:val="18"/>
              </w:rPr>
              <w:t xml:space="preserve">a)  k=3, L=3:  (3 − 1) × 3 + 1 = </w:t>
            </w:r>
            <w:r>
              <w:rPr>
                <w:rFonts w:eastAsia="Courier New" w:cs="Courier New" w:ascii="Courier New" w:hAnsi="Courier New"/>
                <w:b/>
                <w:bCs/>
                <w:color w:val="000000"/>
                <w:sz w:val="18"/>
                <w:szCs w:val="18"/>
              </w:rPr>
              <w:t>7 × 7</w:t>
            </w:r>
          </w:p>
        </w:tc>
      </w:tr>
    </w:tbl>
    <w:p>
      <w:pPr>
        <w:pStyle w:val="Normal"/>
        <w:spacing w:before="60" w:after="60"/>
        <w:rPr>
          <w:sz w:val="18"/>
          <w:szCs w:val="18"/>
        </w:rPr>
      </w:pPr>
      <w:r>
        <w:rPr>
          <w:sz w:val="18"/>
          <w:szCs w:val="18"/>
        </w:rPr>
      </w:r>
    </w:p>
    <w:p>
      <w:pPr>
        <w:pStyle w:val="Normal"/>
        <w:spacing w:before="100" w:after="50"/>
        <w:jc w:val="start"/>
        <w:rPr>
          <w:sz w:val="17"/>
          <w:szCs w:val="17"/>
        </w:rPr>
      </w:pPr>
      <w:r>
        <w:rPr>
          <w:rFonts w:eastAsia="Arial" w:cs="Arial"/>
          <w:b/>
          <w:bCs/>
          <w:color w:val="2E75B6"/>
          <w:sz w:val="17"/>
          <w:szCs w:val="17"/>
        </w:rPr>
        <w:t>b) Breite vs. schmale Kernel</w:t>
      </w:r>
    </w:p>
    <w:tbl>
      <w:tblPr>
        <w:tblW w:w="10263" w:type="dxa"/>
        <w:jc w:val="start"/>
        <w:tblInd w:w="0" w:type="dxa"/>
        <w:tblLayout w:type="fixed"/>
        <w:tblCellMar>
          <w:top w:w="0" w:type="dxa"/>
          <w:start w:w="108" w:type="dxa"/>
          <w:bottom w:w="0" w:type="dxa"/>
          <w:end w:w="108" w:type="dxa"/>
        </w:tblCellMar>
      </w:tblPr>
      <w:tblGrid>
        <w:gridCol w:w="119"/>
        <w:gridCol w:w="10144"/>
      </w:tblGrid>
      <w:tr>
        <w:trPr/>
        <w:tc>
          <w:tcPr>
            <w:tcW w:w="119" w:type="dxa"/>
            <w:tcBorders/>
            <w:shd w:fill="388E3C" w:val="clear"/>
          </w:tcPr>
          <w:p>
            <w:pPr>
              <w:pStyle w:val="Normal"/>
              <w:rPr/>
            </w:pPr>
            <w:r>
              <w:rPr/>
            </w:r>
          </w:p>
        </w:tc>
        <w:tc>
          <w:tcPr>
            <w:tcW w:w="10144" w:type="dxa"/>
            <w:tcBorders/>
            <w:shd w:fill="E8F5E9" w:val="clear"/>
            <w:tcMar>
              <w:top w:w="80" w:type="dxa"/>
              <w:start w:w="160" w:type="dxa"/>
              <w:bottom w:w="80" w:type="dxa"/>
              <w:end w:w="120" w:type="dxa"/>
            </w:tcMar>
          </w:tcPr>
          <w:p>
            <w:pPr>
              <w:pStyle w:val="Normal"/>
              <w:spacing w:before="60" w:after="60"/>
              <w:jc w:val="start"/>
              <w:rPr>
                <w:sz w:val="18"/>
                <w:szCs w:val="18"/>
              </w:rPr>
            </w:pPr>
            <w:r>
              <w:rPr>
                <w:rFonts w:eastAsia="Arial" w:cs="Arial"/>
                <w:b w:val="false"/>
                <w:bCs w:val="false"/>
                <w:color w:val="000000"/>
                <w:sz w:val="18"/>
                <w:szCs w:val="18"/>
              </w:rPr>
              <w:t>Viele schmale Kernel (k=3, mehrere Schichten) sind in der Praxis effizienter als wenige breite. Ein 5×5-Kernel hat 25 Parameter; zwei aufeinanderfolgende 3×3-Kernel haben zusammen nur 18 Parameter (2 × 9), decken aber dasselbe rezeptive Feld von 5×5 ab. Zusätzlich bringt jede weitere Schicht eine eigene nichtlineare Aktivierungsfunktion — das Netz kann komplexere Merkmale lernen. Tiefe mit kleinen Kerneln ist deshalb einem flachen Netz mit großen Kerneln in der Regel überlegen.</w:t>
            </w:r>
          </w:p>
        </w:tc>
      </w:tr>
    </w:tbl>
    <w:p>
      <w:pPr>
        <w:pStyle w:val="Normal"/>
        <w:spacing w:before="120" w:after="60"/>
        <w:rPr>
          <w:sz w:val="18"/>
          <w:szCs w:val="18"/>
        </w:rPr>
      </w:pPr>
      <w:r>
        <w:rPr>
          <w:sz w:val="18"/>
          <w:szCs w:val="18"/>
        </w:rPr>
      </w:r>
    </w:p>
    <w:p>
      <w:pPr>
        <w:pStyle w:val="Normal"/>
        <w:pBdr>
          <w:bottom w:val="single" w:sz="6" w:space="0" w:color="2E75B6"/>
        </w:pBdr>
        <w:spacing w:before="280" w:after="120"/>
        <w:rPr>
          <w:sz w:val="24"/>
          <w:szCs w:val="24"/>
        </w:rPr>
      </w:pPr>
      <w:r>
        <w:rPr>
          <w:rFonts w:eastAsia="Arial" w:cs="Arial"/>
          <w:b/>
          <w:bCs/>
          <w:color w:val="1B3A5C"/>
          <w:sz w:val="24"/>
          <w:szCs w:val="24"/>
        </w:rPr>
        <w:t>Aufgabe 4 — Was "sieht" ein Filter?</w:t>
      </w:r>
    </w:p>
    <w:p>
      <w:pPr>
        <w:pStyle w:val="Normal"/>
        <w:spacing w:before="100" w:after="50"/>
        <w:jc w:val="start"/>
        <w:rPr>
          <w:sz w:val="17"/>
          <w:szCs w:val="17"/>
        </w:rPr>
      </w:pPr>
      <w:r>
        <w:rPr>
          <w:rFonts w:eastAsia="Arial" w:cs="Arial"/>
          <w:b/>
          <w:bCs/>
          <w:color w:val="2E75B6"/>
          <w:sz w:val="17"/>
          <w:szCs w:val="17"/>
        </w:rPr>
        <w:t>a) Zuordnung</w:t>
      </w:r>
    </w:p>
    <w:tbl>
      <w:tblPr>
        <w:tblW w:w="10200" w:type="dxa"/>
        <w:jc w:val="start"/>
        <w:tblInd w:w="0" w:type="dxa"/>
        <w:tblLayout w:type="fixed"/>
        <w:tblCellMar>
          <w:top w:w="0" w:type="dxa"/>
          <w:start w:w="108" w:type="dxa"/>
          <w:bottom w:w="0" w:type="dxa"/>
          <w:end w:w="108" w:type="dxa"/>
        </w:tblCellMar>
      </w:tblPr>
      <w:tblGrid>
        <w:gridCol w:w="119"/>
        <w:gridCol w:w="10081"/>
      </w:tblGrid>
      <w:tr>
        <w:trPr/>
        <w:tc>
          <w:tcPr>
            <w:tcW w:w="119" w:type="dxa"/>
            <w:tcBorders/>
            <w:shd w:fill="388E3C" w:val="clear"/>
          </w:tcPr>
          <w:p>
            <w:pPr>
              <w:pStyle w:val="Normal"/>
              <w:rPr/>
            </w:pPr>
            <w:r>
              <w:rPr/>
            </w:r>
          </w:p>
        </w:tc>
        <w:tc>
          <w:tcPr>
            <w:tcW w:w="10081" w:type="dxa"/>
            <w:tcBorders/>
            <w:shd w:fill="E8F5E9" w:val="clear"/>
            <w:tcMar>
              <w:top w:w="80" w:type="dxa"/>
              <w:start w:w="160" w:type="dxa"/>
              <w:bottom w:w="80" w:type="dxa"/>
              <w:end w:w="120" w:type="dxa"/>
            </w:tcMar>
          </w:tcPr>
          <w:p>
            <w:pPr>
              <w:pStyle w:val="Normal"/>
              <w:spacing w:before="60" w:after="30"/>
              <w:jc w:val="start"/>
              <w:rPr>
                <w:sz w:val="18"/>
                <w:szCs w:val="18"/>
              </w:rPr>
            </w:pPr>
            <w:r>
              <w:rPr>
                <w:rFonts w:eastAsia="Arial" w:cs="Arial"/>
                <w:b w:val="false"/>
                <w:bCs w:val="false"/>
                <w:color w:val="388E3C"/>
                <w:sz w:val="18"/>
                <w:szCs w:val="18"/>
              </w:rPr>
              <w:t>Kernel A  (Zeilen: −1/−1/−1, 0/0/0, +1/+1/+1)  →  Horizontale Kanten</w:t>
            </w:r>
          </w:p>
          <w:p>
            <w:pPr>
              <w:pStyle w:val="Normal"/>
              <w:spacing w:before="0" w:after="30"/>
              <w:jc w:val="start"/>
              <w:rPr>
                <w:sz w:val="18"/>
                <w:szCs w:val="18"/>
              </w:rPr>
            </w:pPr>
            <w:r>
              <w:rPr>
                <w:rFonts w:eastAsia="Arial" w:cs="Arial"/>
                <w:b w:val="false"/>
                <w:bCs w:val="false"/>
                <w:color w:val="388E3C"/>
                <w:sz w:val="18"/>
                <w:szCs w:val="18"/>
              </w:rPr>
              <w:t>Kernel B  (Spalten: −1/0/+1, −1/0/+1, −1/0/+1)  →  Vertikale Kanten</w:t>
            </w:r>
          </w:p>
          <w:p>
            <w:pPr>
              <w:pStyle w:val="Normal"/>
              <w:spacing w:before="0" w:after="60"/>
              <w:jc w:val="start"/>
              <w:rPr>
                <w:sz w:val="18"/>
                <w:szCs w:val="18"/>
              </w:rPr>
            </w:pPr>
            <w:r>
              <w:rPr>
                <w:rFonts w:eastAsia="Arial" w:cs="Arial"/>
                <w:b w:val="false"/>
                <w:bCs w:val="false"/>
                <w:color w:val="388E3C"/>
                <w:sz w:val="18"/>
                <w:szCs w:val="18"/>
              </w:rPr>
              <w:t>Kernel C  (alle Einträge ≈ 0,11 = 1/9)  →  Weichzeichner (Durchschnitt)</w:t>
            </w:r>
          </w:p>
        </w:tc>
      </w:tr>
    </w:tbl>
    <w:p>
      <w:pPr>
        <w:pStyle w:val="Normal"/>
        <w:spacing w:before="60" w:after="60"/>
        <w:rPr>
          <w:sz w:val="18"/>
          <w:szCs w:val="18"/>
        </w:rPr>
      </w:pPr>
      <w:r>
        <w:rPr>
          <w:sz w:val="18"/>
          <w:szCs w:val="18"/>
        </w:rPr>
      </w:r>
    </w:p>
    <w:p>
      <w:pPr>
        <w:pStyle w:val="Normal"/>
        <w:spacing w:before="100" w:after="50"/>
        <w:jc w:val="start"/>
        <w:rPr>
          <w:sz w:val="17"/>
          <w:szCs w:val="17"/>
        </w:rPr>
      </w:pPr>
      <w:r>
        <w:rPr>
          <w:rFonts w:eastAsia="Arial" w:cs="Arial"/>
          <w:b/>
          <w:bCs/>
          <w:color w:val="2E75B6"/>
          <w:sz w:val="17"/>
          <w:szCs w:val="17"/>
        </w:rPr>
        <w:t>b) Kernel A: inhaltliche Beschreibung</w:t>
      </w:r>
    </w:p>
    <w:tbl>
      <w:tblPr>
        <w:tblW w:w="10200" w:type="dxa"/>
        <w:jc w:val="start"/>
        <w:tblInd w:w="0" w:type="dxa"/>
        <w:tblLayout w:type="fixed"/>
        <w:tblCellMar>
          <w:top w:w="0" w:type="dxa"/>
          <w:start w:w="108" w:type="dxa"/>
          <w:bottom w:w="0" w:type="dxa"/>
          <w:end w:w="108" w:type="dxa"/>
        </w:tblCellMar>
      </w:tblPr>
      <w:tblGrid>
        <w:gridCol w:w="119"/>
        <w:gridCol w:w="10081"/>
      </w:tblGrid>
      <w:tr>
        <w:trPr/>
        <w:tc>
          <w:tcPr>
            <w:tcW w:w="119" w:type="dxa"/>
            <w:tcBorders/>
            <w:shd w:fill="388E3C" w:val="clear"/>
          </w:tcPr>
          <w:p>
            <w:pPr>
              <w:pStyle w:val="Normal"/>
              <w:rPr/>
            </w:pPr>
            <w:r>
              <w:rPr/>
            </w:r>
          </w:p>
        </w:tc>
        <w:tc>
          <w:tcPr>
            <w:tcW w:w="10081" w:type="dxa"/>
            <w:tcBorders/>
            <w:shd w:fill="E8F5E9" w:val="clear"/>
            <w:tcMar>
              <w:top w:w="80" w:type="dxa"/>
              <w:start w:w="160" w:type="dxa"/>
              <w:bottom w:w="80" w:type="dxa"/>
              <w:end w:w="120" w:type="dxa"/>
            </w:tcMar>
          </w:tcPr>
          <w:p>
            <w:pPr>
              <w:pStyle w:val="Normal"/>
              <w:spacing w:before="60" w:after="60"/>
              <w:jc w:val="start"/>
              <w:rPr>
                <w:sz w:val="18"/>
                <w:szCs w:val="18"/>
              </w:rPr>
            </w:pPr>
            <w:r>
              <w:rPr>
                <w:rFonts w:eastAsia="Arial" w:cs="Arial"/>
                <w:b w:val="false"/>
                <w:bCs w:val="false"/>
                <w:color w:val="000000"/>
                <w:sz w:val="18"/>
                <w:szCs w:val="18"/>
              </w:rPr>
              <w:t>Kernel A reagiert auf horizontale Helligkeitsübergänge: Der obere Bereich des Fensters wird mit negativen Gewichten belegt, der untere mit positiven. Ein heller Bereich oben und ein dunkler unten (oder umgekehrt) erzeugt einen großen Ausgabewert. In der Feature Map erscheinen horizontale Kanten als helle oder dunkle Streifen; gleichmäßige Flächen liefern einen Wert nahe Null.</w:t>
            </w:r>
          </w:p>
        </w:tc>
      </w:tr>
    </w:tbl>
    <w:p>
      <w:pPr>
        <w:pStyle w:val="Normal"/>
        <w:spacing w:before="60" w:after="60"/>
        <w:rPr>
          <w:sz w:val="18"/>
          <w:szCs w:val="18"/>
        </w:rPr>
      </w:pPr>
      <w:r>
        <w:rPr>
          <w:sz w:val="18"/>
          <w:szCs w:val="18"/>
        </w:rPr>
      </w:r>
    </w:p>
    <w:p>
      <w:pPr>
        <w:pStyle w:val="Normal"/>
        <w:spacing w:before="100" w:after="50"/>
        <w:jc w:val="start"/>
        <w:rPr>
          <w:sz w:val="17"/>
          <w:szCs w:val="17"/>
        </w:rPr>
      </w:pPr>
      <w:r>
        <w:rPr>
          <w:rFonts w:eastAsia="Arial" w:cs="Arial"/>
          <w:b/>
          <w:bCs/>
          <w:color w:val="2E75B6"/>
          <w:sz w:val="17"/>
          <w:szCs w:val="17"/>
        </w:rPr>
        <w:t>c) Wer legt die Filter fest?</w:t>
      </w:r>
    </w:p>
    <w:tbl>
      <w:tblPr>
        <w:tblW w:w="10200" w:type="dxa"/>
        <w:jc w:val="start"/>
        <w:tblInd w:w="0" w:type="dxa"/>
        <w:tblLayout w:type="fixed"/>
        <w:tblCellMar>
          <w:top w:w="0" w:type="dxa"/>
          <w:start w:w="108" w:type="dxa"/>
          <w:bottom w:w="0" w:type="dxa"/>
          <w:end w:w="108" w:type="dxa"/>
        </w:tblCellMar>
      </w:tblPr>
      <w:tblGrid>
        <w:gridCol w:w="119"/>
        <w:gridCol w:w="10081"/>
      </w:tblGrid>
      <w:tr>
        <w:trPr/>
        <w:tc>
          <w:tcPr>
            <w:tcW w:w="119" w:type="dxa"/>
            <w:tcBorders/>
            <w:shd w:fill="388E3C" w:val="clear"/>
          </w:tcPr>
          <w:p>
            <w:pPr>
              <w:pStyle w:val="Normal"/>
              <w:rPr/>
            </w:pPr>
            <w:r>
              <w:rPr/>
            </w:r>
          </w:p>
        </w:tc>
        <w:tc>
          <w:tcPr>
            <w:tcW w:w="10081" w:type="dxa"/>
            <w:tcBorders/>
            <w:shd w:fill="E8F5E9" w:val="clear"/>
            <w:tcMar>
              <w:top w:w="80" w:type="dxa"/>
              <w:start w:w="160" w:type="dxa"/>
              <w:bottom w:w="80" w:type="dxa"/>
              <w:end w:w="120" w:type="dxa"/>
            </w:tcMar>
          </w:tcPr>
          <w:p>
            <w:pPr>
              <w:pStyle w:val="Normal"/>
              <w:spacing w:before="60" w:after="40"/>
              <w:jc w:val="start"/>
              <w:rPr>
                <w:sz w:val="18"/>
                <w:szCs w:val="18"/>
              </w:rPr>
            </w:pPr>
            <w:r>
              <w:rPr>
                <w:rFonts w:eastAsia="Arial" w:cs="Arial"/>
                <w:b w:val="false"/>
                <w:bCs w:val="false"/>
                <w:color w:val="000000"/>
                <w:sz w:val="18"/>
                <w:szCs w:val="18"/>
              </w:rPr>
              <w:t>In einem trainierten CNN legt das Netz selbst fest, welche Filter entstehen — durch Backpropagation und Gradientenabstieg werden die Kernelgewichte so angepasst, dass der Loss minimiert wird. Frühschichtige Filter entwickeln dabei empirisch oft kantenartige oder texturbasierte Muster, weil diese für viele Aufgaben fundamental sind.</w:t>
            </w:r>
          </w:p>
          <w:p>
            <w:pPr>
              <w:pStyle w:val="Normal"/>
              <w:spacing w:before="0" w:after="60"/>
              <w:jc w:val="start"/>
              <w:rPr>
                <w:sz w:val="18"/>
                <w:szCs w:val="18"/>
              </w:rPr>
            </w:pPr>
            <w:r>
              <w:rPr>
                <w:rFonts w:eastAsia="Arial" w:cs="Arial"/>
                <w:b w:val="false"/>
                <w:bCs w:val="false"/>
                <w:color w:val="000000"/>
                <w:sz w:val="18"/>
                <w:szCs w:val="18"/>
              </w:rPr>
              <w:t>Für die Interpretierbarkeit folgt daraus: Man kann die erlernten Kernel zwar visualisieren, aber ihre semantische Bedeutung ist nicht immer unmittelbar verständlich — insbesondere in tieferen Schichten. Erklärbarkeit (Explainability) ist ein aktives Forschungsfeld in der KI.</w:t>
            </w:r>
          </w:p>
        </w:tc>
      </w:tr>
    </w:tbl>
    <w:p>
      <w:pPr>
        <w:pStyle w:val="Normal"/>
        <w:spacing w:before="120" w:after="60"/>
        <w:rPr>
          <w:sz w:val="18"/>
          <w:szCs w:val="18"/>
        </w:rPr>
      </w:pPr>
      <w:r>
        <w:rPr>
          <w:sz w:val="18"/>
          <w:szCs w:val="18"/>
        </w:rPr>
      </w:r>
    </w:p>
    <w:p>
      <w:pPr>
        <w:pStyle w:val="Normal"/>
        <w:pBdr>
          <w:bottom w:val="single" w:sz="6" w:space="0" w:color="2E75B6"/>
        </w:pBdr>
        <w:spacing w:before="280" w:after="120"/>
        <w:rPr>
          <w:sz w:val="24"/>
          <w:szCs w:val="24"/>
        </w:rPr>
      </w:pPr>
      <w:r>
        <w:rPr>
          <w:rFonts w:eastAsia="Arial" w:cs="Arial"/>
          <w:b/>
          <w:bCs/>
          <w:color w:val="1B3A5C"/>
          <w:sz w:val="24"/>
          <w:szCs w:val="24"/>
        </w:rPr>
        <w:t>Aufgabe 5 — Vom Filter zum Netz</w:t>
      </w:r>
    </w:p>
    <w:p>
      <w:pPr>
        <w:pStyle w:val="Normal"/>
        <w:spacing w:before="100" w:after="50"/>
        <w:jc w:val="start"/>
        <w:rPr>
          <w:sz w:val="17"/>
          <w:szCs w:val="17"/>
        </w:rPr>
      </w:pPr>
      <w:r>
        <w:rPr>
          <w:rFonts w:eastAsia="Arial" w:cs="Arial"/>
          <w:b/>
          <w:bCs/>
          <w:color w:val="2E75B6"/>
          <w:sz w:val="17"/>
          <w:szCs w:val="17"/>
        </w:rPr>
        <w:t>a) Flatten-Vektorgröße</w:t>
      </w:r>
    </w:p>
    <w:tbl>
      <w:tblPr>
        <w:tblW w:w="10200" w:type="dxa"/>
        <w:jc w:val="start"/>
        <w:tblInd w:w="0" w:type="dxa"/>
        <w:tblLayout w:type="fixed"/>
        <w:tblCellMar>
          <w:top w:w="0" w:type="dxa"/>
          <w:start w:w="108" w:type="dxa"/>
          <w:bottom w:w="0" w:type="dxa"/>
          <w:end w:w="108" w:type="dxa"/>
        </w:tblCellMar>
      </w:tblPr>
      <w:tblGrid>
        <w:gridCol w:w="119"/>
        <w:gridCol w:w="10081"/>
      </w:tblGrid>
      <w:tr>
        <w:trPr/>
        <w:tc>
          <w:tcPr>
            <w:tcW w:w="119" w:type="dxa"/>
            <w:tcBorders/>
            <w:shd w:fill="388E3C" w:val="clear"/>
          </w:tcPr>
          <w:p>
            <w:pPr>
              <w:pStyle w:val="Normal"/>
              <w:rPr/>
            </w:pPr>
            <w:r>
              <w:rPr/>
            </w:r>
          </w:p>
        </w:tc>
        <w:tc>
          <w:tcPr>
            <w:tcW w:w="10081" w:type="dxa"/>
            <w:tcBorders/>
            <w:shd w:fill="E8F5E9" w:val="clear"/>
            <w:tcMar>
              <w:top w:w="80" w:type="dxa"/>
              <w:start w:w="160" w:type="dxa"/>
              <w:bottom w:w="80" w:type="dxa"/>
              <w:end w:w="120" w:type="dxa"/>
            </w:tcMar>
          </w:tcPr>
          <w:p>
            <w:pPr>
              <w:pStyle w:val="Normal"/>
              <w:spacing w:before="60" w:after="30"/>
              <w:jc w:val="start"/>
              <w:rPr>
                <w:sz w:val="18"/>
                <w:szCs w:val="18"/>
              </w:rPr>
            </w:pPr>
            <w:r>
              <w:rPr>
                <w:rFonts w:eastAsia="Arial" w:cs="Arial"/>
                <w:b w:val="false"/>
                <w:bCs w:val="false"/>
                <w:color w:val="388E3C"/>
                <w:sz w:val="18"/>
                <w:szCs w:val="18"/>
              </w:rPr>
              <w:t>Feature-Map-Größe (n=8, k=3, p=0, s=1):  (8−3+0)/1+1 = 6×6 = 36 Werte pro Filter</w:t>
            </w:r>
          </w:p>
          <w:p>
            <w:pPr>
              <w:pStyle w:val="Normal"/>
              <w:spacing w:before="0" w:after="60"/>
              <w:jc w:val="start"/>
              <w:rPr>
                <w:sz w:val="18"/>
                <w:szCs w:val="18"/>
              </w:rPr>
            </w:pPr>
            <w:r>
              <w:rPr>
                <w:rFonts w:eastAsia="Arial" w:cs="Arial"/>
                <w:b/>
                <w:bCs/>
                <w:color w:val="388E3C"/>
                <w:sz w:val="18"/>
                <w:szCs w:val="18"/>
              </w:rPr>
              <w:t>4 Filter × 36 Werte = 144 Werte im Flatten-Vektor</w:t>
            </w:r>
          </w:p>
        </w:tc>
      </w:tr>
    </w:tbl>
    <w:p>
      <w:pPr>
        <w:pStyle w:val="Normal"/>
        <w:spacing w:before="60" w:after="60"/>
        <w:rPr>
          <w:sz w:val="18"/>
          <w:szCs w:val="18"/>
        </w:rPr>
      </w:pPr>
      <w:r>
        <w:rPr>
          <w:sz w:val="18"/>
          <w:szCs w:val="18"/>
        </w:rPr>
      </w:r>
    </w:p>
    <w:p>
      <w:pPr>
        <w:pStyle w:val="Normal"/>
        <w:spacing w:before="100" w:after="50"/>
        <w:jc w:val="start"/>
        <w:rPr>
          <w:sz w:val="17"/>
          <w:szCs w:val="17"/>
        </w:rPr>
      </w:pPr>
      <w:r>
        <w:rPr>
          <w:rFonts w:eastAsia="Arial" w:cs="Arial"/>
          <w:b/>
          <w:bCs/>
          <w:color w:val="2E75B6"/>
          <w:sz w:val="17"/>
          <w:szCs w:val="17"/>
        </w:rPr>
        <w:t>b) Warum erst einfache Merkmale?</w:t>
      </w:r>
    </w:p>
    <w:tbl>
      <w:tblPr>
        <w:tblW w:w="10200" w:type="dxa"/>
        <w:jc w:val="start"/>
        <w:tblInd w:w="0" w:type="dxa"/>
        <w:tblLayout w:type="fixed"/>
        <w:tblCellMar>
          <w:top w:w="0" w:type="dxa"/>
          <w:start w:w="108" w:type="dxa"/>
          <w:bottom w:w="0" w:type="dxa"/>
          <w:end w:w="108" w:type="dxa"/>
        </w:tblCellMar>
      </w:tblPr>
      <w:tblGrid>
        <w:gridCol w:w="119"/>
        <w:gridCol w:w="10081"/>
      </w:tblGrid>
      <w:tr>
        <w:trPr/>
        <w:tc>
          <w:tcPr>
            <w:tcW w:w="119" w:type="dxa"/>
            <w:tcBorders/>
            <w:shd w:fill="388E3C" w:val="clear"/>
          </w:tcPr>
          <w:p>
            <w:pPr>
              <w:pStyle w:val="Normal"/>
              <w:rPr/>
            </w:pPr>
            <w:r>
              <w:rPr/>
            </w:r>
          </w:p>
        </w:tc>
        <w:tc>
          <w:tcPr>
            <w:tcW w:w="10081" w:type="dxa"/>
            <w:tcBorders/>
            <w:shd w:fill="E8F5E9" w:val="clear"/>
            <w:tcMar>
              <w:top w:w="80" w:type="dxa"/>
              <w:start w:w="160" w:type="dxa"/>
              <w:bottom w:w="80" w:type="dxa"/>
              <w:end w:w="120" w:type="dxa"/>
            </w:tcMar>
          </w:tcPr>
          <w:p>
            <w:pPr>
              <w:pStyle w:val="Normal"/>
              <w:spacing w:before="60" w:after="60"/>
              <w:jc w:val="start"/>
              <w:rPr>
                <w:sz w:val="18"/>
                <w:szCs w:val="18"/>
              </w:rPr>
            </w:pPr>
            <w:r>
              <w:rPr>
                <w:rFonts w:eastAsia="Arial" w:cs="Arial"/>
                <w:b w:val="false"/>
                <w:bCs w:val="false"/>
                <w:color w:val="000000"/>
                <w:sz w:val="18"/>
                <w:szCs w:val="18"/>
              </w:rPr>
              <w:t>Komplexe Muster wie Gesichter oder Objekte lassen sich hierarchisch aus einfachen Merkmalen aufbauen. Eine Kante ist ein einfaches, lokales und universelles Merkmal — es taucht in fast jedem Bild auf und ist mit einem kleinen Kernel lernbar. Auf Kanten aufbauend können mittlere Schichten Ecken und Kurven erkennen, spätere Schichten schließlich Teile von Objekten. Diese Hierarchie ermöglicht eine effiziente Parameterteilung: ein Kantenfilter muss nur einmal gelernt werden und ist auf das gesamte Bild anwendbar.</w:t>
            </w:r>
          </w:p>
        </w:tc>
      </w:tr>
    </w:tbl>
    <w:p>
      <w:pPr>
        <w:pStyle w:val="Normal"/>
        <w:spacing w:before="60" w:after="60"/>
        <w:rPr>
          <w:sz w:val="18"/>
          <w:szCs w:val="18"/>
        </w:rPr>
      </w:pPr>
      <w:r>
        <w:rPr>
          <w:sz w:val="18"/>
          <w:szCs w:val="18"/>
        </w:rPr>
      </w:r>
    </w:p>
    <w:p>
      <w:pPr>
        <w:pStyle w:val="Normal"/>
        <w:spacing w:before="100" w:after="50"/>
        <w:jc w:val="start"/>
        <w:rPr>
          <w:sz w:val="17"/>
          <w:szCs w:val="17"/>
        </w:rPr>
      </w:pPr>
      <w:r>
        <w:rPr>
          <w:rFonts w:eastAsia="Arial" w:cs="Arial"/>
          <w:b/>
          <w:bCs/>
          <w:color w:val="2E75B6"/>
          <w:sz w:val="17"/>
          <w:szCs w:val="17"/>
        </w:rPr>
        <w:t>c) Feature-Map-Größe und rezeptives Feld für 64×64</w:t>
      </w:r>
    </w:p>
    <w:tbl>
      <w:tblPr>
        <w:tblW w:w="10200" w:type="dxa"/>
        <w:jc w:val="start"/>
        <w:tblInd w:w="0" w:type="dxa"/>
        <w:tblLayout w:type="fixed"/>
        <w:tblCellMar>
          <w:top w:w="0" w:type="dxa"/>
          <w:start w:w="108" w:type="dxa"/>
          <w:bottom w:w="0" w:type="dxa"/>
          <w:end w:w="108" w:type="dxa"/>
        </w:tblCellMar>
      </w:tblPr>
      <w:tblGrid>
        <w:gridCol w:w="119"/>
        <w:gridCol w:w="10081"/>
      </w:tblGrid>
      <w:tr>
        <w:trPr/>
        <w:tc>
          <w:tcPr>
            <w:tcW w:w="119" w:type="dxa"/>
            <w:tcBorders/>
            <w:shd w:fill="388E3C" w:val="clear"/>
          </w:tcPr>
          <w:p>
            <w:pPr>
              <w:pStyle w:val="Normal"/>
              <w:rPr/>
            </w:pPr>
            <w:r>
              <w:rPr/>
            </w:r>
          </w:p>
        </w:tc>
        <w:tc>
          <w:tcPr>
            <w:tcW w:w="10081" w:type="dxa"/>
            <w:tcBorders/>
            <w:shd w:fill="E8F5E9" w:val="clear"/>
            <w:tcMar>
              <w:top w:w="80" w:type="dxa"/>
              <w:start w:w="160" w:type="dxa"/>
              <w:bottom w:w="80" w:type="dxa"/>
              <w:end w:w="120" w:type="dxa"/>
            </w:tcMar>
          </w:tcPr>
          <w:p>
            <w:pPr>
              <w:pStyle w:val="Normal"/>
              <w:spacing w:before="60" w:after="30"/>
              <w:jc w:val="start"/>
              <w:rPr>
                <w:sz w:val="18"/>
                <w:szCs w:val="18"/>
              </w:rPr>
            </w:pPr>
            <w:r>
              <w:rPr>
                <w:rFonts w:eastAsia="Arial" w:cs="Arial"/>
                <w:b w:val="false"/>
                <w:bCs w:val="false"/>
                <w:color w:val="000000"/>
                <w:sz w:val="18"/>
                <w:szCs w:val="18"/>
              </w:rPr>
              <w:t>Formel: Output = (n−k)/1+1 = n−2  (bei k=3, p=0, s=1)</w:t>
            </w:r>
          </w:p>
          <w:p>
            <w:pPr>
              <w:pStyle w:val="Normal"/>
              <w:spacing w:before="0" w:after="20"/>
              <w:jc w:val="start"/>
              <w:rPr>
                <w:sz w:val="18"/>
                <w:szCs w:val="18"/>
              </w:rPr>
            </w:pPr>
            <w:r>
              <w:rPr>
                <w:rFonts w:eastAsia="Arial" w:cs="Arial"/>
                <w:b w:val="false"/>
                <w:bCs w:val="false"/>
                <w:color w:val="388E3C"/>
                <w:sz w:val="18"/>
                <w:szCs w:val="18"/>
              </w:rPr>
              <w:t>Schicht 1:  64 − 2 = 62 × 62     RF = (3−1)×1+1 = 3</w:t>
            </w:r>
          </w:p>
          <w:p>
            <w:pPr>
              <w:pStyle w:val="Normal"/>
              <w:spacing w:before="0" w:after="20"/>
              <w:jc w:val="start"/>
              <w:rPr>
                <w:sz w:val="18"/>
                <w:szCs w:val="18"/>
              </w:rPr>
            </w:pPr>
            <w:r>
              <w:rPr>
                <w:rFonts w:eastAsia="Arial" w:cs="Arial"/>
                <w:b w:val="false"/>
                <w:bCs w:val="false"/>
                <w:color w:val="388E3C"/>
                <w:sz w:val="18"/>
                <w:szCs w:val="18"/>
              </w:rPr>
              <w:t>Schicht 2:  62 − 2 = 60 × 60     RF = (3−1)×2+1 = 5</w:t>
            </w:r>
          </w:p>
          <w:p>
            <w:pPr>
              <w:pStyle w:val="Normal"/>
              <w:spacing w:before="0" w:after="60"/>
              <w:jc w:val="start"/>
              <w:rPr>
                <w:sz w:val="18"/>
                <w:szCs w:val="18"/>
              </w:rPr>
            </w:pPr>
            <w:r>
              <w:rPr>
                <w:rFonts w:eastAsia="Arial" w:cs="Arial"/>
                <w:b/>
                <w:bCs/>
                <w:color w:val="388E3C"/>
                <w:sz w:val="18"/>
                <w:szCs w:val="18"/>
              </w:rPr>
              <w:t>Schicht 3:  60 − 2 = 58 × 58     RF = (3−1)×3+1 = 7</w:t>
            </w:r>
          </w:p>
          <w:p>
            <w:pPr>
              <w:pStyle w:val="Normal"/>
              <w:spacing w:before="0" w:after="60"/>
              <w:jc w:val="start"/>
              <w:rPr>
                <w:sz w:val="18"/>
                <w:szCs w:val="18"/>
              </w:rPr>
            </w:pPr>
            <w:r>
              <w:rPr>
                <w:rFonts w:eastAsia="Arial" w:cs="Arial"/>
                <w:b w:val="false"/>
                <w:bCs w:val="false"/>
                <w:color w:val="000000"/>
                <w:sz w:val="18"/>
                <w:szCs w:val="18"/>
              </w:rPr>
              <w:t>Ein Neuron in Schicht 3 "sieht" also einen 7×7-Bereich im Originalbild — obwohl jeder einzelne Kernel nur 3×3 groß ist.</w:t>
            </w:r>
          </w:p>
        </w:tc>
      </w:tr>
    </w:tbl>
    <w:p>
      <w:pPr>
        <w:pStyle w:val="Normal"/>
        <w:spacing w:before="120" w:after="60"/>
        <w:rPr>
          <w:sz w:val="18"/>
          <w:szCs w:val="18"/>
        </w:rPr>
      </w:pPr>
      <w:r>
        <w:rPr>
          <w:sz w:val="18"/>
          <w:szCs w:val="18"/>
        </w:rPr>
      </w:r>
    </w:p>
    <w:p>
      <w:pPr>
        <w:pStyle w:val="Normal"/>
        <w:pBdr>
          <w:bottom w:val="single" w:sz="6" w:space="0" w:color="2E75B6"/>
        </w:pBdr>
        <w:spacing w:before="280" w:after="120"/>
        <w:rPr>
          <w:sz w:val="24"/>
          <w:szCs w:val="24"/>
        </w:rPr>
      </w:pPr>
      <w:r>
        <w:rPr>
          <w:rFonts w:eastAsia="Arial" w:cs="Arial"/>
          <w:b/>
          <w:bCs/>
          <w:color w:val="1B3A5C"/>
          <w:sz w:val="24"/>
          <w:szCs w:val="24"/>
        </w:rPr>
        <w:t>Reflexion — MaxPooling und rezeptives Feld</w:t>
      </w:r>
    </w:p>
    <w:tbl>
      <w:tblPr>
        <w:tblW w:w="10200" w:type="dxa"/>
        <w:jc w:val="start"/>
        <w:tblInd w:w="0" w:type="dxa"/>
        <w:tblLayout w:type="fixed"/>
        <w:tblCellMar>
          <w:top w:w="0" w:type="dxa"/>
          <w:start w:w="108" w:type="dxa"/>
          <w:bottom w:w="0" w:type="dxa"/>
          <w:end w:w="108" w:type="dxa"/>
        </w:tblCellMar>
      </w:tblPr>
      <w:tblGrid>
        <w:gridCol w:w="119"/>
        <w:gridCol w:w="10081"/>
      </w:tblGrid>
      <w:tr>
        <w:trPr/>
        <w:tc>
          <w:tcPr>
            <w:tcW w:w="119" w:type="dxa"/>
            <w:tcBorders/>
            <w:shd w:fill="388E3C" w:val="clear"/>
          </w:tcPr>
          <w:p>
            <w:pPr>
              <w:pStyle w:val="Normal"/>
              <w:rPr/>
            </w:pPr>
            <w:r>
              <w:rPr/>
            </w:r>
          </w:p>
        </w:tc>
        <w:tc>
          <w:tcPr>
            <w:tcW w:w="10081" w:type="dxa"/>
            <w:tcBorders/>
            <w:shd w:fill="E8F5E9" w:val="clear"/>
            <w:tcMar>
              <w:top w:w="80" w:type="dxa"/>
              <w:start w:w="160" w:type="dxa"/>
              <w:bottom w:w="80" w:type="dxa"/>
              <w:end w:w="120" w:type="dxa"/>
            </w:tcMar>
          </w:tcPr>
          <w:p>
            <w:pPr>
              <w:pStyle w:val="Normal"/>
              <w:spacing w:before="60" w:after="40"/>
              <w:jc w:val="start"/>
              <w:rPr>
                <w:sz w:val="18"/>
                <w:szCs w:val="18"/>
              </w:rPr>
            </w:pPr>
            <w:r>
              <w:rPr>
                <w:rFonts w:eastAsia="Arial" w:cs="Arial"/>
                <w:b/>
                <w:bCs/>
                <w:color w:val="000000"/>
                <w:sz w:val="18"/>
                <w:szCs w:val="18"/>
              </w:rPr>
              <w:t>MaxPooling vergrößert das rezeptive Feld — und zwar stärker als eine zusätzliche Conv-Schicht.</w:t>
            </w:r>
          </w:p>
          <w:p>
            <w:pPr>
              <w:pStyle w:val="Normal"/>
              <w:spacing w:before="0" w:after="40"/>
              <w:jc w:val="start"/>
              <w:rPr>
                <w:sz w:val="18"/>
                <w:szCs w:val="18"/>
              </w:rPr>
            </w:pPr>
            <w:r>
              <w:rPr>
                <w:rFonts w:eastAsia="Arial" w:cs="Arial"/>
                <w:b w:val="false"/>
                <w:bCs w:val="false"/>
                <w:color w:val="000000"/>
                <w:sz w:val="18"/>
                <w:szCs w:val="18"/>
              </w:rPr>
              <w:t>Warum: Pool 2×2 halbiert die räumliche Auflösung. Die nachfolgende Conv-Schicht sieht dieselbe Anzahl Zellen, aber jede davon entspricht einem doppelt so großen Bereich im Originalbild. Das rezeptive Feld der nächsten Conv-Schicht wird dadurch effektiv verdoppelt.</w:t>
            </w:r>
          </w:p>
          <w:p>
            <w:pPr>
              <w:pStyle w:val="Normal"/>
              <w:spacing w:before="0" w:after="40"/>
              <w:jc w:val="start"/>
              <w:rPr>
                <w:sz w:val="18"/>
                <w:szCs w:val="18"/>
              </w:rPr>
            </w:pPr>
            <w:r>
              <w:rPr>
                <w:rFonts w:eastAsia="Arial" w:cs="Arial"/>
                <w:b w:val="false"/>
                <w:bCs w:val="false"/>
                <w:color w:val="000000"/>
                <w:sz w:val="18"/>
                <w:szCs w:val="18"/>
              </w:rPr>
              <w:t>Konkret: Conv(k=3, RF=3) → Pool(2×2, Stride=2) → Conv(k=3). Die zweite Conv-Schicht sieht 3×3 Pooling-Zellen, aber jede davon deckt 2×2 Eingabepixel ab. RF nach Pool+Conv = 3×2 + (3−1) = 8 (vereinfacht; exakt: RF = (k_2−1)×Stride_pool + RF_1 = 2×2+3 = 7).</w:t>
            </w:r>
          </w:p>
          <w:p>
            <w:pPr>
              <w:pStyle w:val="Normal"/>
              <w:spacing w:before="0" w:after="60"/>
              <w:jc w:val="start"/>
              <w:rPr>
                <w:sz w:val="18"/>
                <w:szCs w:val="18"/>
              </w:rPr>
            </w:pPr>
            <w:r>
              <w:rPr>
                <w:rFonts w:eastAsia="Arial" w:cs="Arial"/>
                <w:b w:val="false"/>
                <w:bCs w:val="false"/>
                <w:color w:val="000000"/>
                <w:sz w:val="18"/>
                <w:szCs w:val="18"/>
              </w:rPr>
              <w:t>Pooling erfüllt also zwei Aufgaben gleichzeitig: räumliche Reduktion der Feature Map (weniger Parameter) und schnelleres Wachstum des rezeptiven Felds.</w:t>
            </w:r>
          </w:p>
        </w:tc>
      </w:tr>
    </w:tbl>
    <w:p>
      <w:pPr>
        <w:pStyle w:val="Normal"/>
        <w:spacing w:before="100" w:after="60"/>
        <w:rPr>
          <w:sz w:val="18"/>
          <w:szCs w:val="18"/>
        </w:rPr>
      </w:pPr>
      <w:r>
        <w:rPr>
          <w:sz w:val="18"/>
          <w:szCs w:val="18"/>
        </w:rPr>
      </w:r>
    </w:p>
    <w:sectPr>
      <w:type w:val="nextPage"/>
      <w:pgSz w:w="11906" w:h="16838"/>
      <w:pgMar w:left="850" w:right="850" w:gutter="0" w:header="0" w:top="850" w:footer="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de-DE"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de-DE"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de-DE"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de-D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LibreOffice/26.2.0.3$MacOSX_AARCH64 LibreOffice_project/afbbd0df0edb6d40b450b0337ac646b0913a760c</Application>
  <AppVersion>15.0000</AppVersion>
  <Pages>2</Pages>
  <Words>906</Words>
  <Characters>4622</Characters>
  <CharactersWithSpaces>5533</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2026-06-04T13:46:24Z</dcterms:created>
  <dc:creator>Un-named</dc:creator>
  <dc:description/>
  <dc:language>de-DE</dc:language>
  <cp:lastModifiedBy/>
  <dcterms:modified xsi:type="dcterms:W3CDTF">2026-06-14T11:13:13Z</dcterms:modified>
  <cp:revision>2</cp:revision>
  <dc:subject/>
  <dc:title/>
</cp:coreProperties>
</file>