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D6B4F"/>
          <w:sz w:val="56"/>
          <w:szCs w:val="56"/>
        </w:rPr>
        <w:t xml:space="preserve">Ordner-Clusterung</w:t>
      </w:r>
    </w:p>
    <w:p>
      <w:pPr>
        <w:spacing w:after="100"/>
        <w:jc w:val="center"/>
      </w:pPr>
      <w:r>
        <w:rPr>
          <w:rFonts w:ascii="Arial" w:cs="Arial" w:eastAsia="Arial" w:hAnsi="Arial"/>
          <w:color w:val="3C3489"/>
          <w:sz w:val="44"/>
          <w:szCs w:val="44"/>
        </w:rPr>
        <w:t xml:space="preserve">mit LangGraph</w:t>
      </w:r>
    </w:p>
    <w:p>
      <w:pPr>
        <w:pBdr>
          <w:bottom w:val="single" w:color="1D6B4F" w:sz="6" w:space="16"/>
        </w:pBdr>
        <w:spacing w:after="600"/>
        <w:jc w:val="center"/>
      </w:pPr>
      <w:r>
        <w:rPr>
          <w:rFonts w:ascii="Arial" w:cs="Arial" w:eastAsia="Arial" w:hAnsi="Arial"/>
          <w:color w:val="5F5E5A"/>
          <w:sz w:val="24"/>
          <w:szCs w:val="24"/>
        </w:rPr>
        <w:t xml:space="preserve">Technische Dokumentation</w:t>
      </w:r>
    </w:p>
    <w:p>
      <w:pPr>
        <w:spacing w:before="800"/>
      </w:pPr>
    </w:p>
    <w:p>
      <w:pPr>
        <w:spacing w:after="60"/>
        <w:jc w:val="center"/>
      </w:pPr>
      <w:r>
        <w:rPr>
          <w:rFonts w:ascii="Arial" w:cs="Arial" w:eastAsia="Arial" w:hAnsi="Arial"/>
          <w:i/>
          <w:iCs/>
          <w:color w:val="5F5E5A"/>
          <w:sz w:val="22"/>
          <w:szCs w:val="22"/>
        </w:rPr>
        <w:t xml:space="preserve">Agentenbasierter Workflow zur automatischen Ordnerstrukturierung</w:t>
      </w:r>
    </w:p>
    <w:p>
      <w:pPr>
        <w:spacing w:after="60"/>
        <w:jc w:val="center"/>
      </w:pPr>
      <w:r>
        <w:rPr>
          <w:rFonts w:ascii="Arial" w:cs="Arial" w:eastAsia="Arial" w:hAnsi="Arial"/>
          <w:i/>
          <w:iCs/>
          <w:color w:val="5F5E5A"/>
          <w:sz w:val="22"/>
          <w:szCs w:val="22"/>
        </w:rPr>
        <w:t xml:space="preserve">Bottom-Up Clustering mit Top-Down Grundstruktur</w:t>
      </w:r>
    </w:p>
    <w:p>
      <w:pPr>
        <w:spacing w:before="1600"/>
      </w:pPr>
    </w:p>
    <w:p>
      <w:pPr>
        <w:spacing w:after="60"/>
        <w:jc w:val="center"/>
      </w:pPr>
      <w:r>
        <w:rPr>
          <w:rFonts w:ascii="Arial" w:cs="Arial" w:eastAsia="Arial" w:hAnsi="Arial"/>
          <w:color w:val="5F5E5A"/>
          <w:sz w:val="20"/>
          <w:szCs w:val="20"/>
        </w:rPr>
        <w:t xml:space="preserve">Stand: Mai 2026</w:t>
      </w:r>
    </w:p>
    <w:p>
      <w:pPr>
        <w:spacing w:after="60"/>
        <w:jc w:val="center"/>
      </w:pPr>
      <w:r>
        <w:rPr>
          <w:rFonts w:ascii="Arial" w:cs="Arial" w:eastAsia="Arial" w:hAnsi="Arial"/>
          <w:color w:val="5F5E5A"/>
          <w:sz w:val="20"/>
          <w:szCs w:val="20"/>
        </w:rPr>
        <w:t xml:space="preserve">Version 2.0 — LangGraph-Architektur</w:t>
      </w:r>
    </w:p>
    <w:p>
      <w:r>
        <w:br w:type="page"/>
      </w:r>
    </w:p>
    <w:p>
      <w:pPr>
        <w:pStyle w:val="Heading1"/>
      </w:pPr>
      <w:r>
        <w:t xml:space="preserve">Einführung</w:t>
      </w:r>
    </w:p>
    <w:p>
      <w:pPr>
        <w:spacing w:after="120" w:line="276"/>
      </w:pPr>
      <w:r>
        <w:rPr>
          <w:rFonts w:ascii="Arial" w:cs="Arial" w:eastAsia="Arial" w:hAnsi="Arial"/>
          <w:sz w:val="22"/>
          <w:szCs w:val="22"/>
        </w:rPr>
        <w:t xml:space="preserve">Dieses Notebook implementiert einen agentenbasierten Workflow zur automatischen Strukturierung von Dateiverzeichnissen. Ausgehend von Dateinamen und Datei-Metadaten werden Dateien thematisch geclustert und in eine neue Ordnerstruktur überführt.</w:t>
      </w:r>
    </w:p>
    <w:p>
      <w:pPr>
        <w:spacing w:after="120" w:line="276"/>
      </w:pPr>
      <w:r>
        <w:rPr>
          <w:rFonts w:ascii="Arial" w:cs="Arial" w:eastAsia="Arial" w:hAnsi="Arial"/>
          <w:sz w:val="22"/>
          <w:szCs w:val="22"/>
        </w:rPr>
        <w:t xml:space="preserve">Die Architektur basiert auf LangGraph, dem Framework für zustandsbasierte Agenten-Workflows von LangChain. Der Workflow demonstriert drei zentrale LangGraph-Patterns:</w:t>
      </w:r>
    </w:p>
    <w:p>
      <w:pPr>
        <w:pStyle w:val="ListParagraph"/>
        <w:numPr>
          <w:ilvl w:val="0"/>
          <w:numId w:val="2"/>
        </w:numPr>
        <w:spacing w:after="60" w:line="276"/>
      </w:pPr>
      <w:r>
        <w:rPr>
          <w:rFonts w:ascii="Arial" w:cs="Arial" w:eastAsia="Arial" w:hAnsi="Arial"/>
          <w:sz w:val="22"/>
          <w:szCs w:val="22"/>
        </w:rPr>
        <w:t xml:space="preserve">State als TypedDict — zentrales Datenobjekt, das durch alle Nodes fließt</w:t>
      </w:r>
    </w:p>
    <w:p>
      <w:pPr>
        <w:pStyle w:val="ListParagraph"/>
        <w:numPr>
          <w:ilvl w:val="0"/>
          <w:numId w:val="2"/>
        </w:numPr>
        <w:spacing w:after="60" w:line="276"/>
      </w:pPr>
      <w:r>
        <w:rPr>
          <w:rFonts w:ascii="Arial" w:cs="Arial" w:eastAsia="Arial" w:hAnsi="Arial"/>
          <w:sz w:val="22"/>
          <w:szCs w:val="22"/>
        </w:rPr>
        <w:t xml:space="preserve">interrupt() für Human-in-the-Loop — der Graph pausiert und wartet auf User-Feedback</w:t>
      </w:r>
    </w:p>
    <w:p>
      <w:pPr>
        <w:pStyle w:val="ListParagraph"/>
        <w:numPr>
          <w:ilvl w:val="0"/>
          <w:numId w:val="2"/>
        </w:numPr>
        <w:spacing w:after="60" w:line="276"/>
      </w:pPr>
      <w:r>
        <w:rPr>
          <w:rFonts w:ascii="Arial" w:cs="Arial" w:eastAsia="Arial" w:hAnsi="Arial"/>
          <w:sz w:val="22"/>
          <w:szCs w:val="22"/>
        </w:rPr>
        <w:t xml:space="preserve">Bedingte Schleife — review ⇄ ueberarbeiten als Conditional Edge</w:t>
      </w:r>
    </w:p>
    <w:p>
      <w:pPr>
        <w:spacing w:after="120" w:line="276"/>
      </w:pPr>
      <w:r>
        <w:rPr>
          <w:rFonts w:ascii="Arial" w:cs="Arial" w:eastAsia="Arial" w:hAnsi="Arial"/>
          <w:sz w:val="22"/>
          <w:szCs w:val="22"/>
        </w:rPr>
        <w:t xml:space="preserve">Das Skript wird sowohl produktiv als auch als Vorlesungsmaterial für agentenbasierte Systeme eingesetzt. Der Aufbau ist entsprechend didaktisch klar gehalten, ohne dabei Funktionalität einzuschränken.</w:t>
      </w:r>
    </w:p>
    <w:p>
      <w:pPr>
        <w:pBdr>
          <w:bottom w:val="single" w:color="E1F5EE" w:sz="4" w:space="8"/>
        </w:pBdr>
        <w:spacing w:after="200" w:before="200"/>
      </w:pPr>
    </w:p>
    <w:p>
      <w:pPr>
        <w:pStyle w:val="Heading1"/>
      </w:pPr>
      <w:r>
        <w:t xml:space="preserve">Architektur-Überblick</w:t>
      </w:r>
    </w:p>
    <w:p>
      <w:pPr>
        <w:spacing w:after="120" w:line="276"/>
      </w:pPr>
      <w:r>
        <w:rPr>
          <w:rFonts w:ascii="Arial" w:cs="Arial" w:eastAsia="Arial" w:hAnsi="Arial"/>
          <w:sz w:val="22"/>
          <w:szCs w:val="22"/>
        </w:rPr>
        <w:t xml:space="preserve">Der Workflow durchläuft fünf Zustände (Nodes), die als gerichteter Graph verbunden sind. Ein zentraler Review-Node ermöglicht iterative Verfeinerung durch den Benutzer, bevor die finale Ausführung erfolgt.</w:t>
      </w:r>
    </w:p>
    <w:p>
      <w:pPr>
        <w:pStyle w:val="Heading2"/>
      </w:pPr>
      <w:r>
        <w:t xml:space="preserve">Graph-Diagramm</w:t>
      </w:r>
    </w:p>
    <w:p>
      <w:pPr>
        <w:spacing w:after="200" w:before="200"/>
        <w:jc w:val="center"/>
      </w:pPr>
      <w:r>
        <w:drawing>
          <wp:inline distT="0" distB="0" distL="0" distR="0">
            <wp:extent cx="4286250" cy="3286125"/>
            <wp:effectExtent t="0" r="0" b="0" l="0"/>
            <wp:docPr id="1" name="architektur_diagramm" descr="Zustandsgraph mit 5 Nodes: scannen, clustern, review, ueberarbeiten, ausfuehren" title="LangGraph Architekt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3286125"/>
                    </a:xfrm>
                    <a:prstGeom prst="rect">
                      <a:avLst/>
                    </a:prstGeom>
                  </pic:spPr>
                </pic:pic>
              </a:graphicData>
            </a:graphic>
          </wp:inline>
        </w:drawing>
      </w:r>
    </w:p>
    <w:p>
      <w:pPr>
        <w:spacing w:after="120" w:line="276"/>
      </w:pPr>
      <w:r>
        <w:rPr>
          <w:rFonts w:ascii="Arial" w:cs="Arial" w:eastAsia="Arial" w:hAnsi="Arial"/>
          <w:i/>
          <w:iCs/>
          <w:color w:val="5F5E5A"/>
          <w:sz w:val="20"/>
          <w:szCs w:val="20"/>
        </w:rPr>
        <w:t xml:space="preserve">Abbildung 1: Zustandsgraph der Ordner-Clusterung. Der review-Node (gelb) nutzt interrupt() für Human-in-the-Loop. Die gestrichelte Kante zeigt die Überarbeitungsschleife.</w:t>
      </w:r>
    </w:p>
    <w:p>
      <w:pPr>
        <w:pStyle w:val="Heading2"/>
      </w:pPr>
      <w:r>
        <w:t xml:space="preserve">Node-Übersicht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single" w:color="CCCCCC" w:sz="1"/>
              <w:left w:val="single" w:color="CCCCCC" w:sz="1"/>
              <w:bottom w:val="single" w:color="CCCCCC" w:sz="1"/>
              <w:right w:val="single" w:color="CCCCCC" w:sz="1"/>
            </w:tcBorders>
            <w:shd w:fill="1D6B4F" w:val="clear"/>
            <w:tcMar>
              <w:top w:type="dxa" w:w="80"/>
              <w:left w:type="dxa" w:w="120"/>
              <w:bottom w:type="dxa" w:w="80"/>
              <w:right w:type="dxa" w:w="120"/>
            </w:tcMar>
          </w:tcPr>
          <w:p>
            <w:r>
              <w:rPr>
                <w:rFonts w:ascii="Arial" w:cs="Arial" w:eastAsia="Arial" w:hAnsi="Arial"/>
                <w:b/>
                <w:bCs/>
                <w:color w:val="FFFFFF"/>
                <w:sz w:val="20"/>
                <w:szCs w:val="20"/>
              </w:rPr>
              <w:t xml:space="preserve">Node</w:t>
            </w:r>
          </w:p>
        </w:tc>
        <w:tc>
          <w:tcPr>
            <w:tcW w:type="dxa" w:w="3600"/>
            <w:tcBorders>
              <w:top w:val="single" w:color="CCCCCC" w:sz="1"/>
              <w:left w:val="single" w:color="CCCCCC" w:sz="1"/>
              <w:bottom w:val="single" w:color="CCCCCC" w:sz="1"/>
              <w:right w:val="single" w:color="CCCCCC" w:sz="1"/>
            </w:tcBorders>
            <w:shd w:fill="1D6B4F" w:val="clear"/>
            <w:tcMar>
              <w:top w:type="dxa" w:w="80"/>
              <w:left w:type="dxa" w:w="120"/>
              <w:bottom w:type="dxa" w:w="80"/>
              <w:right w:type="dxa" w:w="120"/>
            </w:tcMar>
          </w:tcPr>
          <w:p>
            <w:r>
              <w:rPr>
                <w:rFonts w:ascii="Arial" w:cs="Arial" w:eastAsia="Arial" w:hAnsi="Arial"/>
                <w:b/>
                <w:bCs/>
                <w:color w:val="FFFFFF"/>
                <w:sz w:val="20"/>
                <w:szCs w:val="20"/>
              </w:rPr>
              <w:t xml:space="preserve">Aufgabe</w:t>
            </w:r>
          </w:p>
        </w:tc>
        <w:tc>
          <w:tcPr>
            <w:tcW w:type="dxa" w:w="3960"/>
            <w:tcBorders>
              <w:top w:val="single" w:color="CCCCCC" w:sz="1"/>
              <w:left w:val="single" w:color="CCCCCC" w:sz="1"/>
              <w:bottom w:val="single" w:color="CCCCCC" w:sz="1"/>
              <w:right w:val="single" w:color="CCCCCC" w:sz="1"/>
            </w:tcBorders>
            <w:shd w:fill="1D6B4F" w:val="clear"/>
            <w:tcMar>
              <w:top w:type="dxa" w:w="80"/>
              <w:left w:type="dxa" w:w="120"/>
              <w:bottom w:type="dxa" w:w="80"/>
              <w:right w:type="dxa" w:w="120"/>
            </w:tcMar>
          </w:tcPr>
          <w:p>
            <w:r>
              <w:rPr>
                <w:rFonts w:ascii="Arial" w:cs="Arial" w:eastAsia="Arial" w:hAnsi="Arial"/>
                <w:b/>
                <w:bCs/>
                <w:color w:val="FFFFFF"/>
                <w:sz w:val="20"/>
                <w:szCs w:val="20"/>
              </w:rPr>
              <w:t xml:space="preserve">Besonderheit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scannen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Verzeichnis scannen, Dateien kategorisieren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Reine I/O, keine LLM-Nutzung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LLM-Erstvorschlag erzeugen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Nutzt optionale Steuer-Anweisung aus State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Auf User-Entscheidung warten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interrupt() — Human-in-the-Loop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ueberarbeiten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LLM-Korrektur durchführen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Liest user_input als Feedback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ausfuehren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Dateien in Zielordner verschieben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Schreibt Undo-Log für Rückgängigmachung</w:t>
            </w:r>
          </w:p>
        </w:tc>
      </w:tr>
    </w:tbl>
    <w:p>
      <w:pPr>
        <w:pStyle w:val="Heading2"/>
      </w:pPr>
      <w:r>
        <w:t xml:space="preserve">Kanten-Logik</w:t>
      </w:r>
    </w:p>
    <w:p>
      <w:pPr>
        <w:spacing w:after="120" w:line="276"/>
      </w:pPr>
      <w:r>
        <w:rPr>
          <w:rFonts w:ascii="Arial" w:cs="Arial" w:eastAsia="Arial" w:hAnsi="Arial"/>
          <w:sz w:val="22"/>
          <w:szCs w:val="22"/>
        </w:rPr>
        <w:t xml:space="preserve">Die Kanten zwischen den Nodes sind teils linear, teils bedingt:</w:t>
      </w:r>
    </w:p>
    <w:p>
      <w:pPr>
        <w:pStyle w:val="ListParagraph"/>
        <w:numPr>
          <w:ilvl w:val="0"/>
          <w:numId w:val="2"/>
        </w:numPr>
        <w:spacing w:after="60" w:line="276"/>
      </w:pPr>
      <w:r>
        <w:rPr>
          <w:rFonts w:ascii="Arial" w:cs="Arial" w:eastAsia="Arial" w:hAnsi="Arial"/>
          <w:sz w:val="22"/>
          <w:szCs w:val="22"/>
        </w:rPr>
        <w:t xml:space="preserve">START → scannen → clustern → review: linearer Ablauf</w:t>
      </w:r>
    </w:p>
    <w:p>
      <w:pPr>
        <w:pStyle w:val="ListParagraph"/>
        <w:numPr>
          <w:ilvl w:val="0"/>
          <w:numId w:val="2"/>
        </w:numPr>
        <w:spacing w:after="60" w:line="276"/>
      </w:pPr>
      <w:r>
        <w:rPr>
          <w:rFonts w:ascii="Arial" w:cs="Arial" w:eastAsia="Arial" w:hAnsi="Arial"/>
          <w:sz w:val="22"/>
          <w:szCs w:val="22"/>
        </w:rPr>
        <w:t xml:space="preserve">review → ausfuehren: wenn user_input == "__ausfuehren__"</w:t>
      </w:r>
    </w:p>
    <w:p>
      <w:pPr>
        <w:pStyle w:val="ListParagraph"/>
        <w:numPr>
          <w:ilvl w:val="0"/>
          <w:numId w:val="2"/>
        </w:numPr>
        <w:spacing w:after="60" w:line="276"/>
      </w:pPr>
      <w:r>
        <w:rPr>
          <w:rFonts w:ascii="Arial" w:cs="Arial" w:eastAsia="Arial" w:hAnsi="Arial"/>
          <w:sz w:val="22"/>
          <w:szCs w:val="22"/>
        </w:rPr>
        <w:t xml:space="preserve">review → ueberarbeiten: bei jedem anderen Feedback-Text</w:t>
      </w:r>
    </w:p>
    <w:p>
      <w:pPr>
        <w:pStyle w:val="ListParagraph"/>
        <w:numPr>
          <w:ilvl w:val="0"/>
          <w:numId w:val="2"/>
        </w:numPr>
        <w:spacing w:after="60" w:line="276"/>
      </w:pPr>
      <w:r>
        <w:rPr>
          <w:rFonts w:ascii="Arial" w:cs="Arial" w:eastAsia="Arial" w:hAnsi="Arial"/>
          <w:sz w:val="22"/>
          <w:szCs w:val="22"/>
        </w:rPr>
        <w:t xml:space="preserve">ueberarbeiten → review: Rücksprung (Schleife)</w:t>
      </w:r>
    </w:p>
    <w:p>
      <w:pPr>
        <w:pStyle w:val="ListParagraph"/>
        <w:numPr>
          <w:ilvl w:val="0"/>
          <w:numId w:val="2"/>
        </w:numPr>
        <w:spacing w:after="60" w:line="276"/>
      </w:pPr>
      <w:r>
        <w:rPr>
          <w:rFonts w:ascii="Arial" w:cs="Arial" w:eastAsia="Arial" w:hAnsi="Arial"/>
          <w:sz w:val="22"/>
          <w:szCs w:val="22"/>
        </w:rPr>
        <w:t xml:space="preserve">ausfuehren → END: Graph abgeschlossen</w:t>
      </w:r>
    </w:p>
    <w:p>
      <w:pPr>
        <w:spacing w:after="120" w:line="276"/>
      </w:pPr>
      <w:r>
        <w:rPr>
          <w:rFonts w:ascii="Arial" w:cs="Arial" w:eastAsia="Arial" w:hAnsi="Arial"/>
          <w:sz w:val="22"/>
          <w:szCs w:val="22"/>
        </w:rPr>
        <w:t xml:space="preserve">Die Undo-Funktion lebt bewusst außerhalb des Graphen — sie operiert direkt auf dem Undo-Log und benötigt keinen Graph-Durchlauf.</w:t>
      </w:r>
    </w:p>
    <w:p>
      <w:r>
        <w:br w:type="page"/>
      </w:r>
    </w:p>
    <w:p>
      <w:pPr>
        <w:pStyle w:val="Heading1"/>
      </w:pPr>
      <w:r>
        <w:t xml:space="preserve">State-Definition</w:t>
      </w:r>
    </w:p>
    <w:p>
      <w:pPr>
        <w:spacing w:after="120" w:line="276"/>
      </w:pPr>
      <w:r>
        <w:rPr>
          <w:rFonts w:ascii="Arial" w:cs="Arial" w:eastAsia="Arial" w:hAnsi="Arial"/>
          <w:sz w:val="22"/>
          <w:szCs w:val="22"/>
        </w:rPr>
        <w:t xml:space="preserve">Der ClusterState ist ein TypedDict, das als zentrales Datenobjekt durch alle Nodes fließt. Jeder Node liest relevante Felder und gibt ein partielles Dict zurück, das automatisch in den State gemergt wird.</w:t>
      </w:r>
    </w:p>
    <w:p>
      <w:pPr>
        <w:pStyle w:val="Heading2"/>
      </w:pPr>
      <w:r>
        <w:t xml:space="preserve">Felder des ClusterState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200"/>
        <w:gridCol w:w="4560"/>
      </w:tblGrid>
      <w:tr>
        <w:tc>
          <w:tcPr>
            <w:tcW w:type="dxa" w:w="1200"/>
            <w:tcBorders>
              <w:top w:val="single" w:color="CCCCCC" w:sz="1"/>
              <w:left w:val="single" w:color="CCCCCC" w:sz="1"/>
              <w:bottom w:val="single" w:color="CCCCCC" w:sz="1"/>
              <w:right w:val="single" w:color="CCCCCC" w:sz="1"/>
            </w:tcBorders>
            <w:shd w:fill="1D6B4F" w:val="clear"/>
            <w:tcMar>
              <w:top w:type="dxa" w:w="80"/>
              <w:left w:type="dxa" w:w="120"/>
              <w:bottom w:type="dxa" w:w="80"/>
              <w:right w:type="dxa" w:w="120"/>
            </w:tcMar>
          </w:tcPr>
          <w:p>
            <w:r>
              <w:rPr>
                <w:rFonts w:ascii="Arial" w:cs="Arial" w:eastAsia="Arial" w:hAnsi="Arial"/>
                <w:b/>
                <w:bCs/>
                <w:color w:val="FFFFFF"/>
                <w:sz w:val="20"/>
                <w:szCs w:val="20"/>
              </w:rPr>
              <w:t xml:space="preserve">Kategorie</w:t>
            </w:r>
          </w:p>
        </w:tc>
        <w:tc>
          <w:tcPr>
            <w:tcW w:type="dxa" w:w="2400"/>
            <w:tcBorders>
              <w:top w:val="single" w:color="CCCCCC" w:sz="1"/>
              <w:left w:val="single" w:color="CCCCCC" w:sz="1"/>
              <w:bottom w:val="single" w:color="CCCCCC" w:sz="1"/>
              <w:right w:val="single" w:color="CCCCCC" w:sz="1"/>
            </w:tcBorders>
            <w:shd w:fill="1D6B4F" w:val="clear"/>
            <w:tcMar>
              <w:top w:type="dxa" w:w="80"/>
              <w:left w:type="dxa" w:w="120"/>
              <w:bottom w:type="dxa" w:w="80"/>
              <w:right w:type="dxa" w:w="120"/>
            </w:tcMar>
          </w:tcPr>
          <w:p>
            <w:r>
              <w:rPr>
                <w:rFonts w:ascii="Arial" w:cs="Arial" w:eastAsia="Arial" w:hAnsi="Arial"/>
                <w:b/>
                <w:bCs/>
                <w:color w:val="FFFFFF"/>
                <w:sz w:val="20"/>
                <w:szCs w:val="20"/>
              </w:rPr>
              <w:t xml:space="preserve">Feld</w:t>
            </w:r>
          </w:p>
        </w:tc>
        <w:tc>
          <w:tcPr>
            <w:tcW w:type="dxa" w:w="1200"/>
            <w:tcBorders>
              <w:top w:val="single" w:color="CCCCCC" w:sz="1"/>
              <w:left w:val="single" w:color="CCCCCC" w:sz="1"/>
              <w:bottom w:val="single" w:color="CCCCCC" w:sz="1"/>
              <w:right w:val="single" w:color="CCCCCC" w:sz="1"/>
            </w:tcBorders>
            <w:shd w:fill="1D6B4F" w:val="clear"/>
            <w:tcMar>
              <w:top w:type="dxa" w:w="80"/>
              <w:left w:type="dxa" w:w="120"/>
              <w:bottom w:type="dxa" w:w="80"/>
              <w:right w:type="dxa" w:w="120"/>
            </w:tcMar>
          </w:tcPr>
          <w:p>
            <w:r>
              <w:rPr>
                <w:rFonts w:ascii="Arial" w:cs="Arial" w:eastAsia="Arial" w:hAnsi="Arial"/>
                <w:b/>
                <w:bCs/>
                <w:color w:val="FFFFFF"/>
                <w:sz w:val="20"/>
                <w:szCs w:val="20"/>
              </w:rPr>
              <w:t xml:space="preserve">Typ</w:t>
            </w:r>
          </w:p>
        </w:tc>
        <w:tc>
          <w:tcPr>
            <w:tcW w:type="dxa" w:w="4560"/>
            <w:tcBorders>
              <w:top w:val="single" w:color="CCCCCC" w:sz="1"/>
              <w:left w:val="single" w:color="CCCCCC" w:sz="1"/>
              <w:bottom w:val="single" w:color="CCCCCC" w:sz="1"/>
              <w:right w:val="single" w:color="CCCCCC" w:sz="1"/>
            </w:tcBorders>
            <w:shd w:fill="1D6B4F"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Eingabe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startpfad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Wurzelverzeichnis für den Scan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Eingabe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min_cluster / max_cluster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Cluster-Grenzen für das LLM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Eingabe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anweisung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Optionale Steuer-Anweisung (NEU)</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clustering_dateien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Indizierte Dateien mit Metadaten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nicht_indizierte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Dateien ohne Meta-Index</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name_zu_pfad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Mapping: Dateiname → absoluter Pfad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aktueller_vorschlag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Cluster-Ergebnis vom LLM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ni_zuordnung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Nachbarschafts-Zuordnung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user_input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Feedback oder "__ausfuehren__"</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Ergebnis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bericht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Ausführungsbericht</w:t>
            </w:r>
          </w:p>
        </w:tc>
      </w:tr>
    </w:tbl>
    <w:p>
      <w:pPr>
        <w:pBdr>
          <w:bottom w:val="single" w:color="E1F5EE" w:sz="4" w:space="8"/>
        </w:pBdr>
        <w:spacing w:after="200" w:before="200"/>
      </w:pPr>
    </w:p>
    <w:p>
      <w:pPr>
        <w:pStyle w:val="Heading1"/>
      </w:pPr>
      <w:r>
        <w:t xml:space="preserve">Datei-Kategorisierung</w:t>
      </w:r>
    </w:p>
    <w:p>
      <w:pPr>
        <w:spacing w:after="120" w:line="276"/>
      </w:pPr>
      <w:r>
        <w:rPr>
          <w:rFonts w:ascii="Arial" w:cs="Arial" w:eastAsia="Arial" w:hAnsi="Arial"/>
          <w:sz w:val="22"/>
          <w:szCs w:val="22"/>
        </w:rPr>
        <w:t xml:space="preserve">Der Scanner unterscheidet drei Kategorien von Dateien, die unterschiedlich behandelt werden:</w:t>
      </w:r>
    </w:p>
    <w:p>
      <w:pPr>
        <w:pStyle w:val="Heading3"/>
      </w:pPr>
      <w:r>
        <w:t xml:space="preserve">Dateien mit Metadaten (META_ENDUNGEN)</w:t>
      </w:r>
    </w:p>
    <w:p>
      <w:pPr>
        <w:spacing w:after="120" w:line="276"/>
      </w:pPr>
      <w:r>
        <w:rPr>
          <w:rFonts w:ascii="Arial" w:cs="Arial" w:eastAsia="Arial" w:hAnsi="Arial"/>
          <w:sz w:val="22"/>
          <w:szCs w:val="22"/>
        </w:rPr>
        <w:t xml:space="preserve">Dateitypen: .docx, .pptx, .xlsx, .pdf, .jpg, .jpeg, .png</w:t>
      </w:r>
    </w:p>
    <w:p>
      <w:pPr>
        <w:spacing w:after="120" w:line="276"/>
      </w:pPr>
      <w:r>
        <w:rPr>
          <w:rFonts w:ascii="Arial" w:cs="Arial" w:eastAsia="Arial" w:hAnsi="Arial"/>
          <w:sz w:val="22"/>
          <w:szCs w:val="22"/>
        </w:rPr>
        <w:t xml:space="preserve">Diese Dateien werden nach Dateiname und extrahierten Stichwörtern (Keywords, Subject, EXIF-Tags) geclustert. Die Metadaten-Extraktion nutzt python-docx, python-pptx, openpyxl, PyMuPDF und Pillow.</w:t>
      </w:r>
    </w:p>
    <w:p>
      <w:pPr>
        <w:pStyle w:val="Heading3"/>
      </w:pPr>
      <w:r>
        <w:t xml:space="preserve">Dateien mit systematischem Namen (NAME_ENDUNGEN)</w:t>
      </w:r>
    </w:p>
    <w:p>
      <w:pPr>
        <w:spacing w:after="120" w:line="276"/>
      </w:pPr>
      <w:r>
        <w:rPr>
          <w:rFonts w:ascii="Arial" w:cs="Arial" w:eastAsia="Arial" w:hAnsi="Arial"/>
          <w:sz w:val="22"/>
          <w:szCs w:val="22"/>
        </w:rPr>
        <w:t xml:space="preserve">Dateitypen: .py, .txt, .html, .css, .js, .csv, .json, .xml, .md, .tex, .r, .ipynb</w:t>
      </w:r>
    </w:p>
    <w:p>
      <w:pPr>
        <w:spacing w:after="120" w:line="276"/>
      </w:pPr>
      <w:r>
        <w:rPr>
          <w:rFonts w:ascii="Arial" w:cs="Arial" w:eastAsia="Arial" w:hAnsi="Arial"/>
          <w:sz w:val="22"/>
          <w:szCs w:val="22"/>
        </w:rPr>
        <w:t xml:space="preserve">Diese Dateien werden ausschließlich nach ihrem Dateinamen geclustert, da keine Metadaten extrahierbar sind.</w:t>
      </w:r>
    </w:p>
    <w:p>
      <w:pPr>
        <w:pStyle w:val="Heading3"/>
      </w:pPr>
      <w:r>
        <w:t xml:space="preserve">Nicht-indizierte Dateien</w:t>
      </w:r>
    </w:p>
    <w:p>
      <w:pPr>
        <w:spacing w:after="120" w:line="276"/>
      </w:pPr>
      <w:r>
        <w:rPr>
          <w:rFonts w:ascii="Arial" w:cs="Arial" w:eastAsia="Arial" w:hAnsi="Arial"/>
          <w:sz w:val="22"/>
          <w:szCs w:val="22"/>
        </w:rPr>
        <w:t xml:space="preserve">Alle übrigen Dateitypen. Diese werden nicht direkt geclustert, sondern per Nachbarschafts-Zuordnung dem häufigsten Cluster ihrer Quellordner-Nachbarn zugewiesen.</w:t>
      </w:r>
    </w:p>
    <w:p>
      <w:r>
        <w:br w:type="page"/>
      </w:r>
    </w:p>
    <w:p>
      <w:pPr>
        <w:pStyle w:val="Heading1"/>
      </w:pPr>
      <w:r>
        <w:t xml:space="preserve">Skills-System</w:t>
      </w:r>
    </w:p>
    <w:p>
      <w:pPr>
        <w:spacing w:after="120" w:line="276"/>
      </w:pPr>
      <w:r>
        <w:rPr>
          <w:rFonts w:ascii="Arial" w:cs="Arial" w:eastAsia="Arial" w:hAnsi="Arial"/>
          <w:sz w:val="22"/>
          <w:szCs w:val="22"/>
        </w:rPr>
        <w:t xml:space="preserve">Die LLM-Anweisungen sind in eine externe Datei (clustering_skills.md) ausgelagert. Das ermöglicht:</w:t>
      </w:r>
    </w:p>
    <w:p>
      <w:pPr>
        <w:pStyle w:val="ListParagraph"/>
        <w:numPr>
          <w:ilvl w:val="0"/>
          <w:numId w:val="2"/>
        </w:numPr>
        <w:spacing w:after="60" w:line="276"/>
      </w:pPr>
      <w:r>
        <w:rPr>
          <w:rFonts w:ascii="Arial" w:cs="Arial" w:eastAsia="Arial" w:hAnsi="Arial"/>
          <w:sz w:val="22"/>
          <w:szCs w:val="22"/>
        </w:rPr>
        <w:t xml:space="preserve">Prompt-Änderungen ohne Code-Änderung</w:t>
      </w:r>
    </w:p>
    <w:p>
      <w:pPr>
        <w:pStyle w:val="ListParagraph"/>
        <w:numPr>
          <w:ilvl w:val="0"/>
          <w:numId w:val="2"/>
        </w:numPr>
        <w:spacing w:after="60" w:line="276"/>
      </w:pPr>
      <w:r>
        <w:rPr>
          <w:rFonts w:ascii="Arial" w:cs="Arial" w:eastAsia="Arial" w:hAnsi="Arial"/>
          <w:sz w:val="22"/>
          <w:szCs w:val="22"/>
        </w:rPr>
        <w:t xml:space="preserve">Persistente Anweisungen, die bei jedem Durchlauf gelten</w:t>
      </w:r>
    </w:p>
    <w:p>
      <w:pPr>
        <w:pStyle w:val="ListParagraph"/>
        <w:numPr>
          <w:ilvl w:val="0"/>
          <w:numId w:val="2"/>
        </w:numPr>
        <w:spacing w:after="60" w:line="276"/>
      </w:pPr>
      <w:r>
        <w:rPr>
          <w:rFonts w:ascii="Arial" w:cs="Arial" w:eastAsia="Arial" w:hAnsi="Arial"/>
          <w:sz w:val="22"/>
          <w:szCs w:val="22"/>
        </w:rPr>
        <w:t xml:space="preserve">Modularen Aufbau für verschiedene Anwendungsprofile</w:t>
      </w:r>
    </w:p>
    <w:p>
      <w:pPr>
        <w:pStyle w:val="Heading2"/>
      </w:pPr>
      <w:r>
        <w:t xml:space="preserve">Aufbau der Skills-Datei</w:t>
      </w:r>
    </w:p>
    <w:p>
      <w:pPr>
        <w:spacing w:after="120" w:line="276"/>
      </w:pPr>
      <w:r>
        <w:rPr>
          <w:rFonts w:ascii="Arial" w:cs="Arial" w:eastAsia="Arial" w:hAnsi="Arial"/>
          <w:sz w:val="22"/>
          <w:szCs w:val="22"/>
        </w:rPr>
        <w:t xml:space="preserve">Die Datei ist in Markdown-Sektionen gegliedert (## Überschriften). Die Funktion skills_laden() parst sie als 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1D6B4F" w:val="clear"/>
            <w:tcMar>
              <w:top w:type="dxa" w:w="80"/>
              <w:left w:type="dxa" w:w="120"/>
              <w:bottom w:type="dxa" w:w="80"/>
              <w:right w:type="dxa" w:w="120"/>
            </w:tcMar>
          </w:tcPr>
          <w:p>
            <w:r>
              <w:rPr>
                <w:rFonts w:ascii="Arial" w:cs="Arial" w:eastAsia="Arial" w:hAnsi="Arial"/>
                <w:b/>
                <w:bCs/>
                <w:color w:val="FFFFFF"/>
                <w:sz w:val="20"/>
                <w:szCs w:val="20"/>
              </w:rPr>
              <w:t xml:space="preserve">Sektion</w:t>
            </w:r>
          </w:p>
        </w:tc>
        <w:tc>
          <w:tcPr>
            <w:tcW w:type="dxa" w:w="3600"/>
            <w:tcBorders>
              <w:top w:val="single" w:color="CCCCCC" w:sz="1"/>
              <w:left w:val="single" w:color="CCCCCC" w:sz="1"/>
              <w:bottom w:val="single" w:color="CCCCCC" w:sz="1"/>
              <w:right w:val="single" w:color="CCCCCC" w:sz="1"/>
            </w:tcBorders>
            <w:shd w:fill="1D6B4F" w:val="clear"/>
            <w:tcMar>
              <w:top w:type="dxa" w:w="80"/>
              <w:left w:type="dxa" w:w="120"/>
              <w:bottom w:type="dxa" w:w="80"/>
              <w:right w:type="dxa" w:w="120"/>
            </w:tcMar>
          </w:tcPr>
          <w:p>
            <w:r>
              <w:rPr>
                <w:rFonts w:ascii="Arial" w:cs="Arial" w:eastAsia="Arial" w:hAnsi="Arial"/>
                <w:b/>
                <w:bCs/>
                <w:color w:val="FFFFFF"/>
                <w:sz w:val="20"/>
                <w:szCs w:val="20"/>
              </w:rPr>
              <w:t xml:space="preserve">Inhalt</w:t>
            </w:r>
          </w:p>
        </w:tc>
        <w:tc>
          <w:tcPr>
            <w:tcW w:type="dxa" w:w="2960"/>
            <w:tcBorders>
              <w:top w:val="single" w:color="CCCCCC" w:sz="1"/>
              <w:left w:val="single" w:color="CCCCCC" w:sz="1"/>
              <w:bottom w:val="single" w:color="CCCCCC" w:sz="1"/>
              <w:right w:val="single" w:color="CCCCCC" w:sz="1"/>
            </w:tcBorders>
            <w:shd w:fill="1D6B4F" w:val="clear"/>
            <w:tcMar>
              <w:top w:type="dxa" w:w="80"/>
              <w:left w:type="dxa" w:w="120"/>
              <w:bottom w:type="dxa" w:w="80"/>
              <w:right w:type="dxa" w:w="120"/>
            </w:tcMar>
          </w:tcPr>
          <w:p>
            <w:r>
              <w:rPr>
                <w:rFonts w:ascii="Arial" w:cs="Arial" w:eastAsia="Arial" w:hAnsi="Arial"/>
                <w:b/>
                <w:bCs/>
                <w:color w:val="FFFFFF"/>
                <w:sz w:val="20"/>
                <w:szCs w:val="20"/>
              </w:rPr>
              <w:t xml:space="preserve">Verwendung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ordnernamen_regeln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Namenskonventionen (a-z, 0-9, _)</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jedem Prompt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ausgabeformat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JSON-Ausgabeformat für das LLM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jedem Prompt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erstvorschlag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 für den initialen Cluster-Prompt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node_clustern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korrektur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 für den Korrektur-Prompt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node_ueberarbeiten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persistente_anweisungen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Dauerhafte Vorgaben (z.B. Trennregeln)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Automatisch angehängt</w:t>
            </w:r>
          </w:p>
        </w:tc>
      </w:tr>
    </w:tbl>
    <w:p>
      <w:pPr>
        <w:pStyle w:val="Heading2"/>
      </w:pPr>
      <w:r>
        <w:t xml:space="preserve">Persistente Anweisungen</w:t>
      </w:r>
    </w:p>
    <w:p>
      <w:pPr>
        <w:spacing w:after="120" w:line="276"/>
      </w:pPr>
      <w:r>
        <w:rPr>
          <w:rFonts w:ascii="Arial" w:cs="Arial" w:eastAsia="Arial" w:hAnsi="Arial"/>
          <w:sz w:val="22"/>
          <w:szCs w:val="22"/>
        </w:rPr>
        <w:t xml:space="preserve">Unter der Sektion ## persistente_anweisungen können dauerhafte Regeln hinterlegt werden, die bei jedem Clustering-Durchlauf automatisch in den Prompt einfließen. Beispiel:</w:t>
      </w:r>
    </w:p>
    <w:p>
      <w:pPr>
        <w:shd w:fill="F1EFE8" w:val="clear"/>
        <w:spacing w:after="120"/>
      </w:pPr>
      <w:r>
        <w:rPr>
          <w:rFonts w:ascii="Consolas" w:cs="Consolas" w:eastAsia="Consolas" w:hAnsi="Consolas"/>
          <w:color w:val="5F5E5A"/>
          <w:sz w:val="18"/>
          <w:szCs w:val="18"/>
        </w:rPr>
        <w:t xml:space="preserve">## persistente_anweisungen</w:t>
      </w:r>
    </w:p>
    <w:p>
      <w:pPr>
        <w:shd w:fill="F1EFE8" w:val="clear"/>
        <w:spacing w:after="120"/>
      </w:pPr>
      <w:r>
        <w:rPr>
          <w:rFonts w:ascii="Consolas" w:cs="Consolas" w:eastAsia="Consolas" w:hAnsi="Consolas"/>
          <w:color w:val="5F5E5A"/>
          <w:sz w:val="18"/>
          <w:szCs w:val="18"/>
        </w:rPr>
        <w:t xml:space="preserve">Trenne immer Redox-Chemie von Saeure-Base-Reaktionen.</w:t>
      </w:r>
    </w:p>
    <w:p>
      <w:pPr>
        <w:shd w:fill="F1EFE8" w:val="clear"/>
        <w:spacing w:after="120"/>
      </w:pPr>
      <w:r>
        <w:rPr>
          <w:rFonts w:ascii="Consolas" w:cs="Consolas" w:eastAsia="Consolas" w:hAnsi="Consolas"/>
          <w:color w:val="5F5E5A"/>
          <w:sz w:val="18"/>
          <w:szCs w:val="18"/>
        </w:rPr>
        <w:t xml:space="preserve">Fasse alle Uebungsaufgaben in einen separaten Ordner zusammen.</w:t>
      </w:r>
    </w:p>
    <w:p>
      <w:pPr>
        <w:pStyle w:val="Heading2"/>
      </w:pPr>
      <w:r>
        <w:t xml:space="preserve">Zusammenspiel mit der Steuer-Anweisung</w:t>
      </w:r>
    </w:p>
    <w:p>
      <w:pPr>
        <w:spacing w:after="120" w:line="276"/>
      </w:pPr>
      <w:r>
        <w:rPr>
          <w:rFonts w:ascii="Arial" w:cs="Arial" w:eastAsia="Arial" w:hAnsi="Arial"/>
          <w:sz w:val="22"/>
          <w:szCs w:val="22"/>
        </w:rPr>
        <w:t xml:space="preserve">Die initiale Steuer-Anweisung (Eingabefeld in der UI) wird bei jedem Clustering-Durchlauf zusätzlich zu den persistenten Anweisungen an das LLM übergeben. So ergibt sich eine Hierarchie:</w:t>
      </w:r>
    </w:p>
    <w:p>
      <w:pPr>
        <w:pStyle w:val="ListParagraph"/>
        <w:numPr>
          <w:ilvl w:val="0"/>
          <w:numId w:val="3"/>
        </w:numPr>
        <w:spacing w:after="60" w:line="276"/>
      </w:pPr>
      <w:r>
        <w:rPr>
          <w:rFonts w:ascii="Arial" w:cs="Arial" w:eastAsia="Arial" w:hAnsi="Arial"/>
          <w:sz w:val="22"/>
          <w:szCs w:val="22"/>
        </w:rPr>
        <w:t xml:space="preserve">Persistente Anweisungen aus der Skills-Datei (gelten immer)</w:t>
      </w:r>
    </w:p>
    <w:p>
      <w:pPr>
        <w:pStyle w:val="ListParagraph"/>
        <w:numPr>
          <w:ilvl w:val="0"/>
          <w:numId w:val="3"/>
        </w:numPr>
        <w:spacing w:after="60" w:line="276"/>
      </w:pPr>
      <w:r>
        <w:rPr>
          <w:rFonts w:ascii="Arial" w:cs="Arial" w:eastAsia="Arial" w:hAnsi="Arial"/>
          <w:sz w:val="22"/>
          <w:szCs w:val="22"/>
        </w:rPr>
        <w:t xml:space="preserve">Initiale Steuer-Anweisung aus dem UI-Feld (gilt für diesen Durchlauf)</w:t>
      </w:r>
    </w:p>
    <w:p>
      <w:pPr>
        <w:pStyle w:val="ListParagraph"/>
        <w:numPr>
          <w:ilvl w:val="0"/>
          <w:numId w:val="3"/>
        </w:numPr>
        <w:spacing w:after="60" w:line="276"/>
      </w:pPr>
      <w:r>
        <w:rPr>
          <w:rFonts w:ascii="Arial" w:cs="Arial" w:eastAsia="Arial" w:hAnsi="Arial"/>
          <w:sz w:val="22"/>
          <w:szCs w:val="22"/>
        </w:rPr>
        <w:t xml:space="preserve">Feedback-Text bei Überarbeitung (korrigiert den Vorschlag)</w:t>
      </w:r>
    </w:p>
    <w:p>
      <w:r>
        <w:br w:type="page"/>
      </w:r>
    </w:p>
    <w:p>
      <w:pPr>
        <w:pStyle w:val="Heading1"/>
      </w:pPr>
      <w:r>
        <w:t xml:space="preserve">Gradio-Integration</w:t>
      </w:r>
    </w:p>
    <w:p>
      <w:pPr>
        <w:spacing w:after="120" w:line="276"/>
      </w:pPr>
      <w:r>
        <w:rPr>
          <w:rFonts w:ascii="Arial" w:cs="Arial" w:eastAsia="Arial" w:hAnsi="Arial"/>
          <w:sz w:val="22"/>
          <w:szCs w:val="22"/>
        </w:rPr>
        <w:t xml:space="preserve">Die Gradio-UI ist ein dünner Wrapper über dem LangGraph. Jeder Button-Callback ist eine einfache Funktion, die den Graphen startet oder fortsetzt: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D6B4F" w:val="clear"/>
            <w:tcMar>
              <w:top w:type="dxa" w:w="80"/>
              <w:left w:type="dxa" w:w="120"/>
              <w:bottom w:type="dxa" w:w="80"/>
              <w:right w:type="dxa" w:w="120"/>
            </w:tcMar>
          </w:tcPr>
          <w:p>
            <w:r>
              <w:rPr>
                <w:rFonts w:ascii="Arial" w:cs="Arial" w:eastAsia="Arial" w:hAnsi="Arial"/>
                <w:b/>
                <w:bCs/>
                <w:color w:val="FFFFFF"/>
                <w:sz w:val="20"/>
                <w:szCs w:val="20"/>
              </w:rPr>
              <w:t xml:space="preserve">UI-Element</w:t>
            </w:r>
          </w:p>
        </w:tc>
        <w:tc>
          <w:tcPr>
            <w:tcW w:type="dxa" w:w="2800"/>
            <w:tcBorders>
              <w:top w:val="single" w:color="CCCCCC" w:sz="1"/>
              <w:left w:val="single" w:color="CCCCCC" w:sz="1"/>
              <w:bottom w:val="single" w:color="CCCCCC" w:sz="1"/>
              <w:right w:val="single" w:color="CCCCCC" w:sz="1"/>
            </w:tcBorders>
            <w:shd w:fill="1D6B4F" w:val="clear"/>
            <w:tcMar>
              <w:top w:type="dxa" w:w="80"/>
              <w:left w:type="dxa" w:w="120"/>
              <w:bottom w:type="dxa" w:w="80"/>
              <w:right w:type="dxa" w:w="120"/>
            </w:tcMar>
          </w:tcPr>
          <w:p>
            <w:r>
              <w:rPr>
                <w:rFonts w:ascii="Arial" w:cs="Arial" w:eastAsia="Arial" w:hAnsi="Arial"/>
                <w:b/>
                <w:bCs/>
                <w:color w:val="FFFFFF"/>
                <w:sz w:val="20"/>
                <w:szCs w:val="20"/>
              </w:rPr>
              <w:t xml:space="preserve">Funktion</w:t>
            </w:r>
          </w:p>
        </w:tc>
        <w:tc>
          <w:tcPr>
            <w:tcW w:type="dxa" w:w="4160"/>
            <w:tcBorders>
              <w:top w:val="single" w:color="CCCCCC" w:sz="1"/>
              <w:left w:val="single" w:color="CCCCCC" w:sz="1"/>
              <w:bottom w:val="single" w:color="CCCCCC" w:sz="1"/>
              <w:right w:val="single" w:color="CCCCCC" w:sz="1"/>
            </w:tcBorders>
            <w:shd w:fill="1D6B4F" w:val="clear"/>
            <w:tcMar>
              <w:top w:type="dxa" w:w="80"/>
              <w:left w:type="dxa" w:w="120"/>
              <w:bottom w:type="dxa" w:w="80"/>
              <w:right w:type="dxa" w:w="120"/>
            </w:tcMar>
          </w:tcPr>
          <w:p>
            <w:r>
              <w:rPr>
                <w:rFonts w:ascii="Arial" w:cs="Arial" w:eastAsia="Arial" w:hAnsi="Arial"/>
                <w:b/>
                <w:bCs/>
                <w:color w:val="FFFFFF"/>
                <w:sz w:val="20"/>
                <w:szCs w:val="20"/>
              </w:rPr>
              <w:t xml:space="preserve">Graph-Operation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Scannen &amp; Clustern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btn_starten()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graph.invoke(initial_state) — läuft bis interrupt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Überarbeiten lassen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btn_ueberarbeiten()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graph.invoke(Command(resume=feedback))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Ausführen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btn_ausfuehren()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graph.invoke(Command(resume="__ausfuehren__"))</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btn_undo()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undo_letzte_aktion() — außerhalb des Graphen</w:t>
            </w:r>
          </w:p>
        </w:tc>
      </w:tr>
    </w:tbl>
    <w:p>
      <w:pPr>
        <w:pStyle w:val="Heading2"/>
      </w:pPr>
      <w:r>
        <w:t xml:space="preserve">Session-Management</w:t>
      </w:r>
    </w:p>
    <w:p>
      <w:pPr>
        <w:spacing w:after="120" w:line="276"/>
      </w:pPr>
      <w:r>
        <w:rPr>
          <w:rFonts w:ascii="Arial" w:cs="Arial" w:eastAsia="Arial" w:hAnsi="Arial"/>
          <w:sz w:val="22"/>
          <w:szCs w:val="22"/>
        </w:rPr>
        <w:t xml:space="preserve">Jeder Klick auf "Scannen &amp; Clustern" erzeugt eine neue Thread-ID (UUID). Der MemorySaver-Checkpointer hält den vollständigen State unter dieser ID. Nachfolgende Aufrufe ("Überarbeiten", "Ausführen") nutzen dieselbe Thread-ID, um den Graphen am interrupt()-Punkt fortzusetzen.</w:t>
      </w:r>
    </w:p>
    <w:p>
      <w:pPr>
        <w:pStyle w:val="Heading2"/>
      </w:pPr>
      <w:r>
        <w:t xml:space="preserve">UI-Felder</w:t>
      </w:r>
    </w:p>
    <w:p>
      <w:pPr>
        <w:pStyle w:val="ListParagraph"/>
        <w:numPr>
          <w:ilvl w:val="0"/>
          <w:numId w:val="2"/>
        </w:numPr>
        <w:spacing w:after="60" w:line="276"/>
      </w:pPr>
      <w:r>
        <w:rPr>
          <w:rFonts w:ascii="Arial" w:cs="Arial" w:eastAsia="Arial" w:hAnsi="Arial"/>
          <w:sz w:val="22"/>
          <w:szCs w:val="22"/>
        </w:rPr>
        <w:t xml:space="preserve">Startpfad — Wurzelverzeichnis für den Scan</w:t>
      </w:r>
    </w:p>
    <w:p>
      <w:pPr>
        <w:pStyle w:val="ListParagraph"/>
        <w:numPr>
          <w:ilvl w:val="0"/>
          <w:numId w:val="2"/>
        </w:numPr>
        <w:spacing w:after="60" w:line="276"/>
      </w:pPr>
      <w:r>
        <w:rPr>
          <w:rFonts w:ascii="Arial" w:cs="Arial" w:eastAsia="Arial" w:hAnsi="Arial"/>
          <w:sz w:val="22"/>
          <w:szCs w:val="22"/>
        </w:rPr>
        <w:t xml:space="preserve">Min / Max — Cluster-Grenzen (Standard: 3–10)</w:t>
      </w:r>
    </w:p>
    <w:p>
      <w:pPr>
        <w:pStyle w:val="ListParagraph"/>
        <w:numPr>
          <w:ilvl w:val="0"/>
          <w:numId w:val="2"/>
        </w:numPr>
        <w:spacing w:after="60" w:line="276"/>
      </w:pPr>
      <w:r>
        <w:rPr>
          <w:rFonts w:ascii="Arial" w:cs="Arial" w:eastAsia="Arial" w:hAnsi="Arial"/>
          <w:sz w:val="22"/>
          <w:szCs w:val="22"/>
        </w:rPr>
        <w:t xml:space="preserve">Steuer-Anweisung — optionale Vorgabe für den ersten Durchlauf (NEU in v2.0)</w:t>
      </w:r>
    </w:p>
    <w:p>
      <w:pPr>
        <w:pStyle w:val="ListParagraph"/>
        <w:numPr>
          <w:ilvl w:val="0"/>
          <w:numId w:val="2"/>
        </w:numPr>
        <w:spacing w:after="60" w:line="276"/>
      </w:pPr>
      <w:r>
        <w:rPr>
          <w:rFonts w:ascii="Arial" w:cs="Arial" w:eastAsia="Arial" w:hAnsi="Arial"/>
          <w:sz w:val="22"/>
          <w:szCs w:val="22"/>
        </w:rPr>
        <w:t xml:space="preserve">Feedback — Korrektur-Hinweis für die Überarbeitung</w:t>
      </w:r>
    </w:p>
    <w:p>
      <w:pPr>
        <w:pBdr>
          <w:bottom w:val="single" w:color="E1F5EE" w:sz="4" w:space="8"/>
        </w:pBdr>
        <w:spacing w:after="200" w:before="200"/>
      </w:pPr>
    </w:p>
    <w:p>
      <w:pPr>
        <w:pStyle w:val="Heading1"/>
      </w:pPr>
      <w:r>
        <w:t xml:space="preserve">Sicherheit und Undo</w:t>
      </w:r>
    </w:p>
    <w:p>
      <w:pPr>
        <w:pStyle w:val="Heading2"/>
      </w:pPr>
      <w:r>
        <w:t xml:space="preserve">Undo-Log</w:t>
      </w:r>
    </w:p>
    <w:p>
      <w:pPr>
        <w:spacing w:after="120" w:line="276"/>
      </w:pPr>
      <w:r>
        <w:rPr>
          <w:rFonts w:ascii="Arial" w:cs="Arial" w:eastAsia="Arial" w:hAnsi="Arial"/>
          <w:sz w:val="22"/>
          <w:szCs w:val="22"/>
        </w:rPr>
        <w:t xml:space="preserve">Jede Ausführung schreibt ein JSON-basiertes Undo-Log (~/ordner_berater_undo.json). Das Log enthält für jede Operation Zeitstempel, Startpfad und eine vollständige Liste aller Verschiebungen (Quell- und Zielpfad). Die Undo-Funktion macht die letzte Operation in umgekehrter Reihenfolge rückgängig.</w:t>
      </w:r>
    </w:p>
    <w:p>
      <w:pPr>
        <w:pStyle w:val="Heading2"/>
      </w:pPr>
      <w:r>
        <w:t xml:space="preserve">Namenskollisionen</w:t>
      </w:r>
    </w:p>
    <w:p>
      <w:pPr>
        <w:spacing w:after="120" w:line="276"/>
      </w:pPr>
      <w:r>
        <w:rPr>
          <w:rFonts w:ascii="Arial" w:cs="Arial" w:eastAsia="Arial" w:hAnsi="Arial"/>
          <w:sz w:val="22"/>
          <w:szCs w:val="22"/>
        </w:rPr>
        <w:t xml:space="preserve">Beim Scan werden Dateinamen-Duplikate mit dem Suffix __dup&lt;n&gt; versehen. Beim Verschieben wird bei Zielkollision ein Zähler angehängt (datei_1.pdf, datei_2.pdf etc.).</w:t>
      </w:r>
    </w:p>
    <w:p>
      <w:pPr>
        <w:pStyle w:val="Heading2"/>
      </w:pPr>
      <w:r>
        <w:t xml:space="preserve">Leere Ordner</w:t>
      </w:r>
    </w:p>
    <w:p>
      <w:pPr>
        <w:spacing w:after="120" w:line="276"/>
      </w:pPr>
      <w:r>
        <w:rPr>
          <w:rFonts w:ascii="Arial" w:cs="Arial" w:eastAsia="Arial" w:hAnsi="Arial"/>
          <w:sz w:val="22"/>
          <w:szCs w:val="22"/>
        </w:rPr>
        <w:t xml:space="preserve">Nach dem Verschieben werden leere Quellordner automatisch entfernt (außer dem Startpfad selbst).</w:t>
      </w:r>
    </w:p>
    <w:p>
      <w:r>
        <w:br w:type="page"/>
      </w:r>
    </w:p>
    <w:p>
      <w:pPr>
        <w:pStyle w:val="Heading1"/>
      </w:pPr>
      <w:r>
        <w:t xml:space="preserve">Abhängigkeiten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D6B4F" w:val="clear"/>
            <w:tcMar>
              <w:top w:type="dxa" w:w="80"/>
              <w:left w:type="dxa" w:w="120"/>
              <w:bottom w:type="dxa" w:w="80"/>
              <w:right w:type="dxa" w:w="120"/>
            </w:tcMar>
          </w:tcPr>
          <w:p>
            <w:r>
              <w:rPr>
                <w:rFonts w:ascii="Arial" w:cs="Arial" w:eastAsia="Arial" w:hAnsi="Arial"/>
                <w:b/>
                <w:bCs/>
                <w:color w:val="FFFFFF"/>
                <w:sz w:val="20"/>
                <w:szCs w:val="20"/>
              </w:rPr>
              <w:t xml:space="preserve">Paket</w:t>
            </w:r>
          </w:p>
        </w:tc>
        <w:tc>
          <w:tcPr>
            <w:tcW w:type="dxa" w:w="3360"/>
            <w:tcBorders>
              <w:top w:val="single" w:color="CCCCCC" w:sz="1"/>
              <w:left w:val="single" w:color="CCCCCC" w:sz="1"/>
              <w:bottom w:val="single" w:color="CCCCCC" w:sz="1"/>
              <w:right w:val="single" w:color="CCCCCC" w:sz="1"/>
            </w:tcBorders>
            <w:shd w:fill="1D6B4F" w:val="clear"/>
            <w:tcMar>
              <w:top w:type="dxa" w:w="80"/>
              <w:left w:type="dxa" w:w="120"/>
              <w:bottom w:type="dxa" w:w="80"/>
              <w:right w:type="dxa" w:w="120"/>
            </w:tcMar>
          </w:tcPr>
          <w:p>
            <w:r>
              <w:rPr>
                <w:rFonts w:ascii="Arial" w:cs="Arial" w:eastAsia="Arial" w:hAnsi="Arial"/>
                <w:b/>
                <w:bCs/>
                <w:color w:val="FFFFFF"/>
                <w:sz w:val="20"/>
                <w:szCs w:val="20"/>
              </w:rPr>
              <w:t xml:space="preserve">Zweck</w:t>
            </w:r>
          </w:p>
        </w:tc>
        <w:tc>
          <w:tcPr>
            <w:tcW w:type="dxa" w:w="3600"/>
            <w:tcBorders>
              <w:top w:val="single" w:color="CCCCCC" w:sz="1"/>
              <w:left w:val="single" w:color="CCCCCC" w:sz="1"/>
              <w:bottom w:val="single" w:color="CCCCCC" w:sz="1"/>
              <w:right w:val="single" w:color="CCCCCC" w:sz="1"/>
            </w:tcBorders>
            <w:shd w:fill="1D6B4F" w:val="clear"/>
            <w:tcMar>
              <w:top w:type="dxa" w:w="80"/>
              <w:left w:type="dxa" w:w="120"/>
              <w:bottom w:type="dxa" w:w="80"/>
              <w:right w:type="dxa" w:w="120"/>
            </w:tcMar>
          </w:tcPr>
          <w:p>
            <w:r>
              <w:rPr>
                <w:rFonts w:ascii="Arial" w:cs="Arial" w:eastAsia="Arial" w:hAnsi="Arial"/>
                <w:b/>
                <w:bCs/>
                <w:color w:val="FFFFFF"/>
                <w:sz w:val="20"/>
                <w:szCs w:val="20"/>
              </w:rPr>
              <w:t xml:space="preserve">Installation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langgraph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Zustandsgraph, Checkpointing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 install langgraph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langchain-core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Basis-Typen für LangGraph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 install langchain-core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gradio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Web-UI</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 install gradio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LM Studio API-Aufrufe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 install requests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python-docx</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Metadaten: .docx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 install python-docx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python-pptx</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Metadaten: .pptx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 install python-pptx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openpyxl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Metadaten: .xlsx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 install openpyxl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PyMuPDF</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Metadaten: .pdf</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 install PyMuPDF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Pillow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Metadaten: .jpg, .png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 install Pillow</w:t>
            </w:r>
          </w:p>
        </w:tc>
      </w:tr>
    </w:tbl>
    <w:p>
      <w:pPr>
        <w:pStyle w:val="Heading2"/>
      </w:pPr>
      <w:r>
        <w:t xml:space="preserve">LLM-Backend</w:t>
      </w:r>
    </w:p>
    <w:p>
      <w:pPr>
        <w:spacing w:after="120" w:line="276"/>
      </w:pPr>
      <w:r>
        <w:rPr>
          <w:rFonts w:ascii="Arial" w:cs="Arial" w:eastAsia="Arial" w:hAnsi="Arial"/>
          <w:sz w:val="22"/>
          <w:szCs w:val="22"/>
        </w:rPr>
        <w:t xml:space="preserve">Das Skript nutzt LM Studio mit dem Modell Qwen 3.6-27B über die OpenAI-kompatible API (localhost:1234). Das Modell kann in der Konfigurationszelle geändert werden. Die Qwen3-spezifische &lt;think&gt;-Tag-Bereinigung ist integriert.</w:t>
      </w:r>
    </w:p>
    <w:p>
      <w:pPr>
        <w:pBdr>
          <w:bottom w:val="single" w:color="E1F5EE" w:sz="4" w:space="8"/>
        </w:pBdr>
        <w:spacing w:after="200" w:before="200"/>
      </w:pPr>
    </w:p>
    <w:p>
      <w:pPr>
        <w:pStyle w:val="Heading1"/>
      </w:pPr>
      <w:r>
        <w:t xml:space="preserve">Changelog</w:t>
      </w:r>
    </w:p>
    <w:p>
      <w:pPr>
        <w:pStyle w:val="Heading2"/>
      </w:pPr>
      <w:r>
        <w:t xml:space="preserve">Version 2.0 (Mai 2026) — LangGraph-Umbau</w:t>
      </w:r>
    </w:p>
    <w:p>
      <w:pPr>
        <w:pStyle w:val="ListParagraph"/>
        <w:numPr>
          <w:ilvl w:val="0"/>
          <w:numId w:val="2"/>
        </w:numPr>
        <w:spacing w:after="60" w:line="276"/>
      </w:pPr>
      <w:r>
        <w:rPr>
          <w:rFonts w:ascii="Arial" w:cs="Arial" w:eastAsia="Arial" w:hAnsi="Arial"/>
          <w:sz w:val="22"/>
          <w:szCs w:val="22"/>
        </w:rPr>
        <w:t xml:space="preserve">Architektur: Umstellung von globalem Dict-State auf LangGraph StateGraph</w:t>
      </w:r>
    </w:p>
    <w:p>
      <w:pPr>
        <w:pStyle w:val="ListParagraph"/>
        <w:numPr>
          <w:ilvl w:val="0"/>
          <w:numId w:val="2"/>
        </w:numPr>
        <w:spacing w:after="60" w:line="276"/>
      </w:pPr>
      <w:r>
        <w:rPr>
          <w:rFonts w:ascii="Arial" w:cs="Arial" w:eastAsia="Arial" w:hAnsi="Arial"/>
          <w:sz w:val="22"/>
          <w:szCs w:val="22"/>
        </w:rPr>
        <w:t xml:space="preserve">Neu: Initiale Steuer-Anweisung ab dem ersten Clustering-Durchlauf</w:t>
      </w:r>
    </w:p>
    <w:p>
      <w:pPr>
        <w:pStyle w:val="ListParagraph"/>
        <w:numPr>
          <w:ilvl w:val="0"/>
          <w:numId w:val="2"/>
        </w:numPr>
        <w:spacing w:after="60" w:line="276"/>
      </w:pPr>
      <w:r>
        <w:rPr>
          <w:rFonts w:ascii="Arial" w:cs="Arial" w:eastAsia="Arial" w:hAnsi="Arial"/>
          <w:sz w:val="22"/>
          <w:szCs w:val="22"/>
        </w:rPr>
        <w:t xml:space="preserve">Neu: Skills-Datei (clustering_skills.md) für ausgelagerte LLM-Anweisungen</w:t>
      </w:r>
    </w:p>
    <w:p>
      <w:pPr>
        <w:pStyle w:val="ListParagraph"/>
        <w:numPr>
          <w:ilvl w:val="0"/>
          <w:numId w:val="2"/>
        </w:numPr>
        <w:spacing w:after="60" w:line="276"/>
      </w:pPr>
      <w:r>
        <w:rPr>
          <w:rFonts w:ascii="Arial" w:cs="Arial" w:eastAsia="Arial" w:hAnsi="Arial"/>
          <w:sz w:val="22"/>
          <w:szCs w:val="22"/>
        </w:rPr>
        <w:t xml:space="preserve">Neu: Persistente Anweisungen über die Skills-Datei konfigurierbar</w:t>
      </w:r>
    </w:p>
    <w:p>
      <w:pPr>
        <w:pStyle w:val="ListParagraph"/>
        <w:numPr>
          <w:ilvl w:val="0"/>
          <w:numId w:val="2"/>
        </w:numPr>
        <w:spacing w:after="60" w:line="276"/>
      </w:pPr>
      <w:r>
        <w:rPr>
          <w:rFonts w:ascii="Arial" w:cs="Arial" w:eastAsia="Arial" w:hAnsi="Arial"/>
          <w:sz w:val="22"/>
          <w:szCs w:val="22"/>
        </w:rPr>
        <w:t xml:space="preserve">Neu: MemorySaver-Checkpointer für Session-Persistenz</w:t>
      </w:r>
    </w:p>
    <w:p>
      <w:pPr>
        <w:pStyle w:val="ListParagraph"/>
        <w:numPr>
          <w:ilvl w:val="0"/>
          <w:numId w:val="2"/>
        </w:numPr>
        <w:spacing w:after="60" w:line="276"/>
      </w:pPr>
      <w:r>
        <w:rPr>
          <w:rFonts w:ascii="Arial" w:cs="Arial" w:eastAsia="Arial" w:hAnsi="Arial"/>
          <w:sz w:val="22"/>
          <w:szCs w:val="22"/>
        </w:rPr>
        <w:t xml:space="preserve">Neu: Human-in-the-Loop via interrupt() statt manuellem Callback-Routing</w:t>
      </w:r>
    </w:p>
    <w:p>
      <w:pPr>
        <w:pStyle w:val="ListParagraph"/>
        <w:numPr>
          <w:ilvl w:val="0"/>
          <w:numId w:val="2"/>
        </w:numPr>
        <w:spacing w:after="60" w:line="276"/>
      </w:pPr>
      <w:r>
        <w:rPr>
          <w:rFonts w:ascii="Arial" w:cs="Arial" w:eastAsia="Arial" w:hAnsi="Arial"/>
          <w:sz w:val="22"/>
          <w:szCs w:val="22"/>
        </w:rPr>
        <w:t xml:space="preserve">Refactoring: Gradio-Callbacks als dünne Wrapper über graph.invoke()</w:t>
      </w:r>
    </w:p>
    <w:p>
      <w:pPr>
        <w:pStyle w:val="ListParagraph"/>
        <w:numPr>
          <w:ilvl w:val="0"/>
          <w:numId w:val="2"/>
        </w:numPr>
        <w:spacing w:after="60" w:line="276"/>
      </w:pPr>
      <w:r>
        <w:rPr>
          <w:rFonts w:ascii="Arial" w:cs="Arial" w:eastAsia="Arial" w:hAnsi="Arial"/>
          <w:sz w:val="22"/>
          <w:szCs w:val="22"/>
        </w:rPr>
        <w:t xml:space="preserve">Didaktik: Notebook-Struktur mit nummerierten Sektionen und Markdown-Erklärungen</w:t>
      </w:r>
    </w:p>
    <w:p>
      <w:pPr>
        <w:pStyle w:val="Heading2"/>
      </w:pPr>
      <w:r>
        <w:t xml:space="preserve">Version 1.0 — Initiale Version</w:t>
      </w:r>
    </w:p>
    <w:p>
      <w:pPr>
        <w:pStyle w:val="ListParagraph"/>
        <w:numPr>
          <w:ilvl w:val="0"/>
          <w:numId w:val="2"/>
        </w:numPr>
        <w:spacing w:after="60" w:line="276"/>
      </w:pPr>
      <w:r>
        <w:rPr>
          <w:rFonts w:ascii="Arial" w:cs="Arial" w:eastAsia="Arial" w:hAnsi="Arial"/>
          <w:sz w:val="22"/>
          <w:szCs w:val="22"/>
        </w:rPr>
        <w:t xml:space="preserve">Bottom-Up Clustering mit LLM (Qwen 3.6-27B)</w:t>
      </w:r>
    </w:p>
    <w:p>
      <w:pPr>
        <w:pStyle w:val="ListParagraph"/>
        <w:numPr>
          <w:ilvl w:val="0"/>
          <w:numId w:val="2"/>
        </w:numPr>
        <w:spacing w:after="60" w:line="276"/>
      </w:pPr>
      <w:r>
        <w:rPr>
          <w:rFonts w:ascii="Arial" w:cs="Arial" w:eastAsia="Arial" w:hAnsi="Arial"/>
          <w:sz w:val="22"/>
          <w:szCs w:val="22"/>
        </w:rPr>
        <w:t xml:space="preserve">Metadaten-Extraktion für 7 Dateitypen</w:t>
      </w:r>
    </w:p>
    <w:p>
      <w:pPr>
        <w:pStyle w:val="ListParagraph"/>
        <w:numPr>
          <w:ilvl w:val="0"/>
          <w:numId w:val="2"/>
        </w:numPr>
        <w:spacing w:after="60" w:line="276"/>
      </w:pPr>
      <w:r>
        <w:rPr>
          <w:rFonts w:ascii="Arial" w:cs="Arial" w:eastAsia="Arial" w:hAnsi="Arial"/>
          <w:sz w:val="22"/>
          <w:szCs w:val="22"/>
        </w:rPr>
        <w:t xml:space="preserve">Nachbarschafts-Zuordnung für nicht-indizierte Dateien</w:t>
      </w:r>
    </w:p>
    <w:p>
      <w:pPr>
        <w:pStyle w:val="ListParagraph"/>
        <w:numPr>
          <w:ilvl w:val="0"/>
          <w:numId w:val="2"/>
        </w:numPr>
        <w:spacing w:after="60" w:line="276"/>
      </w:pPr>
      <w:r>
        <w:rPr>
          <w:rFonts w:ascii="Arial" w:cs="Arial" w:eastAsia="Arial" w:hAnsi="Arial"/>
          <w:sz w:val="22"/>
          <w:szCs w:val="22"/>
        </w:rPr>
        <w:t xml:space="preserve">Gradio-UI mit Scan, Clustering, Überarbeitung, Ausführung, Undo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1F5EE" w:sz="2" w:space="6"/>
      </w:pBdr>
      <w:spacing w:before="0"/>
      <w:jc w:val="center"/>
    </w:pPr>
    <w:r>
      <w:rPr>
        <w:rFonts w:ascii="Arial" w:cs="Arial" w:eastAsia="Arial" w:hAnsi="Arial"/>
        <w:color w:val="5F5E5A"/>
        <w:sz w:val="18"/>
        <w:szCs w:val="18"/>
      </w:rPr>
      <w:t xml:space="preserve">Seite </w:t>
    </w:r>
    <w:r>
      <w:rPr>
        <w:rFonts w:ascii="Arial" w:cs="Arial" w:eastAsia="Arial" w:hAnsi="Arial"/>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1F5EE" w:sz="2" w:space="6"/>
      </w:pBdr>
      <w:tabs>
        <w:tab w:val="right" w:pos="9026"/>
      </w:tabs>
      <w:spacing w:after="0"/>
    </w:pPr>
    <w:r>
      <w:rPr>
        <w:rFonts w:ascii="Arial" w:cs="Arial" w:eastAsia="Arial" w:hAnsi="Arial"/>
        <w:color w:val="5F5E5A"/>
        <w:sz w:val="18"/>
        <w:szCs w:val="18"/>
      </w:rPr>
      <w:t xml:space="preserve">Ordner-Clusterung mit LangGraph</w:t>
    </w:r>
    <w:r>
      <w:rPr>
        <w:rFonts w:ascii="Arial" w:cs="Arial" w:eastAsia="Arial" w:hAnsi="Arial"/>
        <w:color w:val="5F5E5A"/>
        <w:sz w:val="18"/>
        <w:szCs w:val="18"/>
      </w:rPr>
      <w:t xml:space="preserve">	Technische Dokumentation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D6B4F"/>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3C3489"/>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F5E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52ee68050653e420cb68388223ca43ad8d7974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2026-05-19T18:42:40.626Z</dcterms:created>
  <dcterms:modified xsi:type="dcterms:W3CDTF">2026-05-19T18:42:40.626Z</dcterms:modified>
</cp:coreProperties>
</file>

<file path=docProps/custom.xml><?xml version="1.0" encoding="utf-8"?>
<Properties xmlns="http://schemas.openxmlformats.org/officeDocument/2006/custom-properties" xmlns:vt="http://schemas.openxmlformats.org/officeDocument/2006/docPropsVTypes"/>
</file>