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969DA"/>
          <w:sz w:val="30"/>
          <w:szCs w:val="30"/>
        </w:rPr>
        <w:t xml:space="preserve">Bias-Varianz-Simulator: Didaktischer Begleitkommentar</w:t>
      </w:r>
    </w:p>
    <w:p>
      <w:pPr>
        <w:spacing w:after="10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Zielgruppe: </w:t>
      </w:r>
      <w:r>
        <w:rPr>
          <w:rFonts w:ascii="Arial" w:cs="Arial" w:eastAsia="Arial" w:hAnsi="Arial"/>
          <w:sz w:val="20"/>
          <w:szCs w:val="20"/>
        </w:rPr>
        <w:t xml:space="preserve">DQR 5/6 (Berufsausbildung / Bachelor-Niveau), ML-Grundbegriffe (Overfitting, Trainings-/Testfehler) vorausgesetzt.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Werkzeug: </w:t>
      </w:r>
      <w:r>
        <w:rPr>
          <w:rFonts w:ascii="Arial" w:cs="Arial" w:eastAsia="Arial" w:hAnsi="Arial"/>
          <w:sz w:val="20"/>
          <w:szCs w:val="20"/>
        </w:rPr>
        <w:t xml:space="preserve">interaktive Web-App (Vanilla HTML/JS), anschließend Vertiefung im Jupyter-Notebook.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Gegenstand: </w:t>
      </w:r>
      <w:r>
        <w:rPr>
          <w:rFonts w:ascii="Arial" w:cs="Arial" w:eastAsia="Arial" w:hAnsi="Arial"/>
          <w:sz w:val="20"/>
          <w:szCs w:val="20"/>
        </w:rPr>
        <w:t xml:space="preserve">die Zerlegung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Fehler = Bias² + Varianz + σ²</w:t>
      </w:r>
      <w:r>
        <w:rPr>
          <w:rFonts w:ascii="Arial" w:cs="Arial" w:eastAsia="Arial" w:hAnsi="Arial"/>
          <w:sz w:val="20"/>
          <w:szCs w:val="20"/>
        </w:rPr>
        <w:t xml:space="preserve"> als erklärendes Grundprinzip hinter dem Overfitting-Phänomen.</w:t>
      </w:r>
      <w:r>
        <w:rPr>
          <w:rStyle w:val="FootnoteReference"/>
        </w:rPr>
        <w:footnoteReference w:id="1"/>
      </w:r>
    </w:p>
    <w:p>
      <w:pPr>
        <w:pBdr>
          <w:bottom w:val="single" w:color="D0D7DE" w:sz="4"/>
        </w:pBdr>
        <w:spacing w:after="60" w:before="160"/>
      </w:pPr>
      <w:r>
        <w:rPr>
          <w:rFonts w:ascii="Arial" w:cs="Arial" w:eastAsia="Arial" w:hAnsi="Arial"/>
          <w:b/>
          <w:bCs/>
          <w:color w:val="0969DA"/>
          <w:sz w:val="23"/>
          <w:szCs w:val="23"/>
        </w:rPr>
        <w:t xml:space="preserve">Was sieht man?</w:t>
      </w:r>
    </w:p>
    <w:p>
      <w:pPr>
        <w:spacing w:after="100" w:line="252"/>
      </w:pPr>
      <w:r>
        <w:rPr>
          <w:rFonts w:ascii="Arial" w:cs="Arial" w:eastAsia="Arial" w:hAnsi="Arial"/>
          <w:sz w:val="20"/>
          <w:szCs w:val="20"/>
        </w:rPr>
        <w:t xml:space="preserve">Die App simuliert eine bekannte wahre Funktion </w:t>
      </w:r>
      <w:r>
        <w:rPr>
          <w:rFonts w:ascii="Consolas" w:cs="Consolas" w:eastAsia="Consolas" w:hAnsi="Consolas"/>
          <w:sz w:val="19"/>
          <w:szCs w:val="19"/>
        </w:rPr>
        <w:t xml:space="preserve">f(x) = sin(2πx)</w:t>
      </w:r>
      <w:r>
        <w:rPr>
          <w:rFonts w:ascii="Arial" w:cs="Arial" w:eastAsia="Arial" w:hAnsi="Arial"/>
          <w:sz w:val="20"/>
          <w:szCs w:val="20"/>
        </w:rPr>
        <w:t xml:space="preserve">, verrauscht sie mit </w:t>
      </w:r>
      <w:r>
        <w:rPr>
          <w:rFonts w:ascii="Consolas" w:cs="Consolas" w:eastAsia="Consolas" w:hAnsi="Consolas"/>
          <w:sz w:val="19"/>
          <w:szCs w:val="19"/>
        </w:rPr>
        <w:t xml:space="preserve">ε ~ N(0, σ²)</w:t>
      </w:r>
      <w:r>
        <w:rPr>
          <w:rFonts w:ascii="Arial" w:cs="Arial" w:eastAsia="Arial" w:hAnsi="Arial"/>
          <w:sz w:val="20"/>
          <w:szCs w:val="20"/>
        </w:rPr>
        <w:t xml:space="preserve"> und zieht daraus wiederholt frische Trainingsdatensätze. Drei aufeinander aufbauende Ansichten: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Ansicht 1 – Einzelfits (4×4): </w:t>
      </w:r>
      <w:r>
        <w:rPr>
          <w:rFonts w:ascii="Arial" w:cs="Arial" w:eastAsia="Arial" w:hAnsi="Arial"/>
          <w:sz w:val="20"/>
          <w:szCs w:val="20"/>
        </w:rPr>
        <w:t xml:space="preserve">16 unabhängig gezogene Datensätze, jeder mit eigenem Polynom-Fit. Sichtbar wird: Jede Ziehung erzeugt ein anderes Modell. Bewusst ohne Kennzahlen.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Ansicht 2 – Überlagerung: </w:t>
      </w:r>
      <w:r>
        <w:rPr>
          <w:rFonts w:ascii="Arial" w:cs="Arial" w:eastAsia="Arial" w:hAnsi="Arial"/>
          <w:sz w:val="20"/>
          <w:szCs w:val="20"/>
        </w:rPr>
        <w:t xml:space="preserve">Alle M Fits halbtransparent übereinander, dazu Mittelwertkurve, wahre Funktion und ±1σ-Band. Daneben die live berechnete Zerlegung – inklusive Abgleich mit dem empirisch gemessenen Testfehler auf frischen Daten.</w:t>
      </w:r>
    </w:p>
    <w:p>
      <w:pPr>
        <w:pStyle w:val="ListParagraph"/>
        <w:numPr>
          <w:ilvl w:val="0"/>
          <w:numId w:val="2"/>
        </w:numPr>
        <w:spacing w:after="5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Ansicht 3 – Komplexitäts-Matrix: </w:t>
      </w:r>
      <w:r>
        <w:rPr>
          <w:rFonts w:ascii="Arial" w:cs="Arial" w:eastAsia="Arial" w:hAnsi="Arial"/>
          <w:sz w:val="20"/>
          <w:szCs w:val="20"/>
        </w:rPr>
        <w:t xml:space="preserve">Ein Fenster pro Polynomgrad (1–12), jedes mit kompletter Modellschar und Kennzahlen. Darunter die aus diesen Zahlen erwachsende U-Kurve mit σ²-Sockel und markiertem Optimum.</w:t>
      </w:r>
    </w:p>
    <w:p>
      <w:pPr>
        <w:pBdr>
          <w:bottom w:val="single" w:color="D0D7DE" w:sz="4"/>
        </w:pBdr>
        <w:spacing w:after="60" w:before="160"/>
      </w:pPr>
      <w:r>
        <w:rPr>
          <w:rFonts w:ascii="Arial" w:cs="Arial" w:eastAsia="Arial" w:hAnsi="Arial"/>
          <w:b/>
          <w:bCs/>
          <w:color w:val="0969DA"/>
          <w:sz w:val="23"/>
          <w:szCs w:val="23"/>
        </w:rPr>
        <w:t xml:space="preserve">Warum so und nicht anders?</w:t>
      </w:r>
    </w:p>
    <w:p>
      <w:pPr>
        <w:spacing w:after="10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Die Modellschar ist der Kern, nicht das Einzelmodell. </w:t>
      </w:r>
      <w:r>
        <w:rPr>
          <w:rFonts w:ascii="Arial" w:cs="Arial" w:eastAsia="Arial" w:hAnsi="Arial"/>
          <w:sz w:val="20"/>
          <w:szCs w:val="20"/>
        </w:rPr>
        <w:t xml:space="preserve">Die häufigste Fehlvorstellung lautet, Bias und Varianz seien Eigenschaften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eines</w:t>
      </w:r>
      <w:r>
        <w:rPr>
          <w:rFonts w:ascii="Arial" w:cs="Arial" w:eastAsia="Arial" w:hAnsi="Arial"/>
          <w:sz w:val="20"/>
          <w:szCs w:val="20"/>
        </w:rPr>
        <w:t xml:space="preserve"> trainierten Modells. Tatsächlich sind sie Eigenschaften des Lernverfahrens, gemittelt über viele hypothetische Trainingsdatensätze.</w:t>
      </w:r>
      <w:r>
        <w:rPr>
          <w:rStyle w:val="FootnoteReference"/>
        </w:rPr>
        <w:footnoteReference w:id="2"/>
      </w:r>
      <w:r>
        <w:rPr>
          <w:rFonts w:ascii="Arial" w:cs="Arial" w:eastAsia="Arial" w:hAnsi="Arial"/>
          <w:sz w:val="20"/>
          <w:szCs w:val="20"/>
        </w:rPr>
        <w:t xml:space="preserve"> Deshalb zeigt die App konsequent Scharen von Modellen – und Ansicht 1 verzichtet absichtlich auf jede Kennzahl: Einem Einzelfit sieht man seine Fehlerzusammensetzung nicht an. Analytik erscheint erst dort, wo eine ganze Schar wohnt (Ansicht 2 und 3).</w:t>
      </w:r>
    </w:p>
    <w:p>
      <w:pPr>
        <w:spacing w:after="10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 Tradeoff wird erzwungen, nicht behauptet. </w:t>
      </w:r>
      <w:r>
        <w:rPr>
          <w:rFonts w:ascii="Arial" w:cs="Arial" w:eastAsia="Arial" w:hAnsi="Arial"/>
          <w:sz w:val="20"/>
          <w:szCs w:val="20"/>
        </w:rPr>
        <w:t xml:space="preserve">Die klassische Dartscheiben-Analogie zeigt Bias und Varianz als unabhängige Quadranten – sie versteckt gerade den Zielkonflikt. Im Polynom-Setting ist er strukturell unvermeidbar: Wer Bias senkt (höherer Grad), kauft Varianz ein, und umgekehrt. Die U-Kurve entsteht aus der Simulation, statt als fertige Schemagrafik präsentiert zu werden.</w:t>
      </w:r>
    </w:p>
    <w:p>
      <w:pPr>
        <w:spacing w:after="10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„Gott spielen“ als bewusste Rahmung. </w:t>
      </w:r>
      <w:r>
        <w:rPr>
          <w:rFonts w:ascii="Arial" w:cs="Arial" w:eastAsia="Arial" w:hAnsi="Arial"/>
          <w:sz w:val="20"/>
          <w:szCs w:val="20"/>
        </w:rPr>
        <w:t xml:space="preserve">Die Zerlegung ist nur berechenbar, weil wir f(x) und σ² kennen und beliebig oft neu ziehen dürfen – im echten Projekt geht beides nicht. Diese Unmöglichkeit wird explizit thematisiert und schlägt die Brücke zu den Praxis-Werkzeugen (Validierungskurven, Cross-Validation).</w:t>
      </w:r>
    </w:p>
    <w:p>
      <w:pPr>
        <w:spacing w:after="60"/>
      </w:pPr>
    </w:p>
    <w:tbl>
      <w:tblPr>
        <w:tblW w:type="dxa" w:w="9638"/>
        <w:tblBorders>
          <w:top w:val="single" w:color="DAFBE1" w:sz="2"/>
          <w:left w:val="single" w:color="1A7F37" w:sz="24"/>
          <w:bottom w:val="single" w:color="DAFBE1" w:sz="2"/>
          <w:right w:val="single" w:color="DAFBE1" w:sz="2"/>
          <w:insideH w:val="single" w:color="DAFBE1" w:sz="2"/>
          <w:insideV w:val="single" w:color="DAFBE1" w:sz="2"/>
        </w:tblBorders>
      </w:tblPr>
      <w:tblGrid>
        <w:gridCol w:w="9638"/>
      </w:tblGrid>
      <w:tr>
        <w:tc>
          <w:tcPr>
            <w:tcW w:type="dxa" w:w="9638"/>
            <w:shd w:fill="DAFB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7F37"/>
                <w:sz w:val="20"/>
                <w:szCs w:val="20"/>
              </w:rPr>
              <w:t xml:space="preserve">Erwarteter Erkenntnisgewinn (Lernziele)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Teilnehmenden (1) erklären Bias und Varianz als Eigenschaften eines Lernverfahrens über viele Datenziehungen hinweg, (2) deuten beide Größen geometrisch (Abstand der Mittelwertkurve zur wahren Funktion; Breite des Kurvenschlauchs), (3) begründen, warum der Gesamtfehler nie unter σ² fällt, (4) verifizieren die Zerlegungsformel empirisch statt sie zu glauben, und (5) übertragen das Prinzip auf die Modellwahl in realen Projekten, in denen f(x) und σ² unbekannt sind.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969DA"/>
          <w:sz w:val="30"/>
          <w:szCs w:val="30"/>
        </w:rPr>
        <w:t xml:space="preserve">Übungsaufgaben zum Bias-Varianz-Simulator</w:t>
      </w:r>
    </w:p>
    <w:p>
      <w:pPr>
        <w:spacing w:after="100" w:line="252"/>
      </w:pPr>
      <w:r>
        <w:rPr>
          <w:rFonts w:ascii="Arial" w:cs="Arial" w:eastAsia="Arial" w:hAnsi="Arial"/>
          <w:sz w:val="20"/>
          <w:szCs w:val="20"/>
        </w:rPr>
        <w:t xml:space="preserve">Bearbeiten Sie die Aufgaben in der Reihenfolge; sie folgen dem Dreischritt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Beobachten → Erklären → Übertragen</w:t>
      </w:r>
      <w:r>
        <w:rPr>
          <w:rFonts w:ascii="Arial" w:cs="Arial" w:eastAsia="Arial" w:hAnsi="Arial"/>
          <w:sz w:val="20"/>
          <w:szCs w:val="20"/>
        </w:rPr>
        <w:t xml:space="preserve">. Notieren Sie Ihre Antworten stichpunktartig. Standardeinstellungen: σ = 0.30, n = 20, M = 30.</w:t>
      </w:r>
    </w:p>
    <w:p>
      <w:pPr>
        <w:pBdr>
          <w:bottom w:val="single" w:color="D0D7DE" w:sz="4"/>
        </w:pBdr>
        <w:spacing w:after="60" w:before="160"/>
      </w:pPr>
      <w:r>
        <w:rPr>
          <w:rFonts w:ascii="Arial" w:cs="Arial" w:eastAsia="Arial" w:hAnsi="Arial"/>
          <w:b/>
          <w:bCs/>
          <w:color w:val="0969DA"/>
          <w:sz w:val="23"/>
          <w:szCs w:val="23"/>
        </w:rPr>
        <w:t xml:space="preserve">Beobachten (Ansicht 1)</w:t>
      </w:r>
    </w:p>
    <w:p>
      <w:pPr>
        <w:pStyle w:val="ListParagraph"/>
        <w:numPr>
          <w:ilvl w:val="0"/>
          <w:numId w:val="3"/>
        </w:numPr>
        <w:spacing w:after="11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Modellvielfalt. </w:t>
      </w:r>
      <w:r>
        <w:rPr>
          <w:rFonts w:ascii="Arial" w:cs="Arial" w:eastAsia="Arial" w:hAnsi="Arial"/>
          <w:sz w:val="20"/>
          <w:szCs w:val="20"/>
        </w:rPr>
        <w:t xml:space="preserve">Stellen Sie Grad 1 ein und betrachten Sie die 16 Fenster. Wie ähnlich sind sich die Modelle? Wiederholen Sie das für Grad 3 und Grad 10. Beschreiben Sie den Unterschied in ein bis zwei Sätzen – ohne die Begriffe Bias oder Varianz zu benutzen.</w:t>
      </w:r>
    </w:p>
    <w:p>
      <w:pPr>
        <w:pStyle w:val="ListParagraph"/>
        <w:numPr>
          <w:ilvl w:val="0"/>
          <w:numId w:val="3"/>
        </w:numPr>
        <w:spacing w:after="11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Systematischer Irrtum. </w:t>
      </w:r>
      <w:r>
        <w:rPr>
          <w:rFonts w:ascii="Arial" w:cs="Arial" w:eastAsia="Arial" w:hAnsi="Arial"/>
          <w:sz w:val="20"/>
          <w:szCs w:val="20"/>
        </w:rPr>
        <w:t xml:space="preserve">Bleiben Sie bei Grad 1: In welche Richtung liegen die Geraden gegenüber der wahren Funktion daneben – zufällig mal so, mal so, oder immer auf dieselbe Weise? Ziehen Sie mehrfach neue Datensätze (🎲), um Ihre Antwort abzusichern.</w:t>
      </w:r>
    </w:p>
    <w:p>
      <w:pPr>
        <w:pBdr>
          <w:bottom w:val="single" w:color="D0D7DE" w:sz="4"/>
        </w:pBdr>
        <w:spacing w:after="60" w:before="160"/>
      </w:pPr>
      <w:r>
        <w:rPr>
          <w:rFonts w:ascii="Arial" w:cs="Arial" w:eastAsia="Arial" w:hAnsi="Arial"/>
          <w:b/>
          <w:bCs/>
          <w:color w:val="0969DA"/>
          <w:sz w:val="23"/>
          <w:szCs w:val="23"/>
        </w:rPr>
        <w:t xml:space="preserve">Erklären (Ansicht 2)</w:t>
      </w:r>
    </w:p>
    <w:p>
      <w:pPr>
        <w:pStyle w:val="ListParagraph"/>
        <w:numPr>
          <w:ilvl w:val="0"/>
          <w:numId w:val="3"/>
        </w:numPr>
        <w:spacing w:after="11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Geometrie der Zerlegung. </w:t>
      </w:r>
      <w:r>
        <w:rPr>
          <w:rFonts w:ascii="Arial" w:cs="Arial" w:eastAsia="Arial" w:hAnsi="Arial"/>
          <w:sz w:val="20"/>
          <w:szCs w:val="20"/>
        </w:rPr>
        <w:t xml:space="preserve">Ordnen Sie zu: Welches sichtbare Element entspricht dem Bias, welches der Varianz? Prüfen Sie Ihre Zuordnung, indem Sie den Grad von 1 auf 10 erhöhen und beobachten, welche Kennzahl sich mit welchem Bildelement verändert.</w:t>
      </w:r>
    </w:p>
    <w:p>
      <w:pPr>
        <w:pStyle w:val="ListParagraph"/>
        <w:numPr>
          <w:ilvl w:val="0"/>
          <w:numId w:val="3"/>
        </w:numPr>
        <w:spacing w:after="11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Vorhersage vor Bedienung. </w:t>
      </w:r>
      <w:r>
        <w:rPr>
          <w:rFonts w:ascii="Arial" w:cs="Arial" w:eastAsia="Arial" w:hAnsi="Arial"/>
          <w:sz w:val="20"/>
          <w:szCs w:val="20"/>
        </w:rPr>
        <w:t xml:space="preserve">Sie erhöhen σ von 0.30 auf 0.60. Sagen Sie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vorher</w:t>
      </w:r>
      <w:r>
        <w:rPr>
          <w:rFonts w:ascii="Arial" w:cs="Arial" w:eastAsia="Arial" w:hAnsi="Arial"/>
          <w:sz w:val="20"/>
          <w:szCs w:val="20"/>
        </w:rPr>
        <w:t xml:space="preserve"> schriftlich voraus, welche der drei Größen (Bias², Varianz, σ²) sich wie ändern – und prüfen Sie erst dann. Erklären Sie Abweichungen von Ihrer Vorhersage.</w:t>
      </w:r>
    </w:p>
    <w:p>
      <w:pPr>
        <w:pStyle w:val="ListParagraph"/>
        <w:numPr>
          <w:ilvl w:val="0"/>
          <w:numId w:val="3"/>
        </w:numPr>
        <w:spacing w:after="11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Formel-Verifikation. </w:t>
      </w:r>
      <w:r>
        <w:rPr>
          <w:rFonts w:ascii="Arial" w:cs="Arial" w:eastAsia="Arial" w:hAnsi="Arial"/>
          <w:sz w:val="20"/>
          <w:szCs w:val="20"/>
        </w:rPr>
        <w:t xml:space="preserve">Vergleichen Sie für drei verschiedene Grade die Summe Bias² + Varianz + σ² mit dem gemessenen MSE auf frischen Testdaten. Wie groß sind die Abweichungen? Erhöhen Sie M auf 100 – was passiert mit den Abweichungen, und warum?</w:t>
      </w:r>
    </w:p>
    <w:p>
      <w:pPr>
        <w:pBdr>
          <w:bottom w:val="single" w:color="D0D7DE" w:sz="4"/>
        </w:pBdr>
        <w:spacing w:after="60" w:before="160"/>
      </w:pPr>
      <w:r>
        <w:rPr>
          <w:rFonts w:ascii="Arial" w:cs="Arial" w:eastAsia="Arial" w:hAnsi="Arial"/>
          <w:b/>
          <w:bCs/>
          <w:color w:val="0969DA"/>
          <w:sz w:val="23"/>
          <w:szCs w:val="23"/>
        </w:rPr>
        <w:t xml:space="preserve">Übertragen (Ansicht 3)</w:t>
      </w:r>
    </w:p>
    <w:p>
      <w:pPr>
        <w:pStyle w:val="ListParagraph"/>
        <w:numPr>
          <w:ilvl w:val="0"/>
          <w:numId w:val="3"/>
        </w:numPr>
        <w:spacing w:after="11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Wanderndes Optimum. </w:t>
      </w:r>
      <w:r>
        <w:rPr>
          <w:rFonts w:ascii="Arial" w:cs="Arial" w:eastAsia="Arial" w:hAnsi="Arial"/>
          <w:sz w:val="20"/>
          <w:szCs w:val="20"/>
        </w:rPr>
        <w:t xml:space="preserve">Notieren Sie den optimalen Grad bei n = 20. Erhöhen Sie n auf 60: Wohin wandert das Optimum? Formulieren Sie daraus eine Faustregel über den Zusammenhang von Datenmenge und vertretbarer Modellkomplexität.</w:t>
      </w:r>
    </w:p>
    <w:p>
      <w:pPr>
        <w:pStyle w:val="ListParagraph"/>
        <w:numPr>
          <w:ilvl w:val="0"/>
          <w:numId w:val="3"/>
        </w:numPr>
        <w:spacing w:after="11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Der unerreichbare Sockel. </w:t>
      </w:r>
      <w:r>
        <w:rPr>
          <w:rFonts w:ascii="Arial" w:cs="Arial" w:eastAsia="Arial" w:hAnsi="Arial"/>
          <w:sz w:val="20"/>
          <w:szCs w:val="20"/>
        </w:rPr>
        <w:t xml:space="preserve">Kein Fenster der Matrix unterschreitet die gestrichelte σ²-Linie. Erklären Sie einem fiktiven Kunden in zwei Sätzen, warum auch das beste Modell der Welt diesen Fehler nicht beseitigen kann – und was das für Fehlerziel-Vereinbarungen in Projekten bedeutet.</w:t>
      </w:r>
    </w:p>
    <w:p>
      <w:pPr>
        <w:pStyle w:val="ListParagraph"/>
        <w:numPr>
          <w:ilvl w:val="0"/>
          <w:numId w:val="3"/>
        </w:numPr>
        <w:spacing w:after="110" w:line="252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Bruch mit der Simulation. </w:t>
      </w:r>
      <w:r>
        <w:rPr>
          <w:rFonts w:ascii="Arial" w:cs="Arial" w:eastAsia="Arial" w:hAnsi="Arial"/>
          <w:sz w:val="20"/>
          <w:szCs w:val="20"/>
        </w:rPr>
        <w:t xml:space="preserve">In der App konnten wir Bias² und Varianz exakt berechnen. Nennen Sie die zwei Voraussetzungen dafür, die in einem realen ML-Projekt niemals erfüllt sind, und benennen Sie je ein Praxis-Werkzeug, das an ihre Stelle tritt.</w:t>
      </w:r>
    </w:p>
    <w:p>
      <w:pPr>
        <w:spacing w:after="60"/>
      </w:pPr>
    </w:p>
    <w:tbl>
      <w:tblPr>
        <w:tblW w:type="dxa" w:w="9638"/>
        <w:tblBorders>
          <w:top w:val="single" w:color="FFF8C5" w:sz="2"/>
          <w:left w:val="single" w:color="BF8700" w:sz="24"/>
          <w:bottom w:val="single" w:color="FFF8C5" w:sz="2"/>
          <w:right w:val="single" w:color="FFF8C5" w:sz="2"/>
          <w:insideH w:val="single" w:color="FFF8C5" w:sz="2"/>
          <w:insideV w:val="single" w:color="FFF8C5" w:sz="2"/>
        </w:tblBorders>
      </w:tblPr>
      <w:tblGrid>
        <w:gridCol w:w="9638"/>
      </w:tblGrid>
      <w:tr>
        <w:tc>
          <w:tcPr>
            <w:tcW w:type="dxa" w:w="9638"/>
            <w:shd w:fill="FFF8C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F8700"/>
                <w:sz w:val="20"/>
                <w:szCs w:val="20"/>
              </w:rPr>
              <w:t xml:space="preserve">Typische Stolperstelle</w:t>
            </w:r>
          </w:p>
          <w:p>
            <w:pPr>
              <w:spacing w:after="0" w:line="252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 in Aufgabe A3 versucht, Bias oder Varianz an einem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einzelnen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Fenster aus Ansicht 1 abzulesen, sitzt der zentralen Fehlvorstellung auf: Ein Einzelmodell hat nur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einen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Fehler. Die Zerlegung existiert erst über die Schar.</w:t>
            </w:r>
          </w:p>
        </w:tc>
      </w:tr>
    </w:tbl>
    <w:sectPr>
      <w:pgSz w:w="11906" w:h="16838" w:orient="portrait"/>
      <w:pgMar w:top="1020" w:right="1133" w:bottom="90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rPr>
          <w:rFonts w:ascii="Arial" w:cs="Arial" w:eastAsia="Arial" w:hAnsi="Arial"/>
          <w:sz w:val="20"/>
          <w:szCs w:val="20"/>
        </w:rPr>
        <w:t xml:space="preserve">Herleitung u. a. in Hastie, Tibshirani &amp; Friedman: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The Elements of Statistical Learning</w:t>
      </w:r>
      <w:r>
        <w:rPr>
          <w:rFonts w:ascii="Arial" w:cs="Arial" w:eastAsia="Arial" w:hAnsi="Arial"/>
          <w:sz w:val="20"/>
          <w:szCs w:val="20"/>
        </w:rPr>
        <w:t xml:space="preserve">, 2. Aufl., Springer 2009, Kap. 7.3; ursprünglich Geman, Bienenstock &amp; Doursat (1992),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Neural Computation</w:t>
      </w:r>
      <w:r>
        <w:rPr>
          <w:rFonts w:ascii="Arial" w:cs="Arial" w:eastAsia="Arial" w:hAnsi="Arial"/>
          <w:sz w:val="20"/>
          <w:szCs w:val="20"/>
        </w:rPr>
        <w:t xml:space="preserve"> 4(1).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rPr>
          <w:rFonts w:ascii="Arial" w:cs="Arial" w:eastAsia="Arial" w:hAnsi="Arial"/>
          <w:sz w:val="20"/>
          <w:szCs w:val="20"/>
        </w:rPr>
        <w:t xml:space="preserve">Zur Fehlvorstellung „Bias/Varianz als Eigenschaft eines Einzelmodells“ vgl. die verbreitete Verwechslung mit dem Trainings-/Testfehler eines konkreten Fits.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A%1"/>
      <w:lvlJc w:val="left"/>
      <w:pPr>
        <w:ind w:left="480" w:hanging="480"/>
      </w:pPr>
      <w:rPr>
        <w:rFonts w:ascii="Arial" w:cs="Arial" w:eastAsia="Arial" w:hAnsi="Arial"/>
        <w:b/>
        <w:bCs/>
        <w:color w:val="0969DA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Arial" w:cs="Arial" w:eastAsia="Arial" w:hAnsi="Arial"/>
      <w:sz w:val="16"/>
      <w:szCs w:val="16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2026-07-03T12:53:03.798Z</dcterms:created>
  <dcterms:modified xsi:type="dcterms:W3CDTF">2026-07-03T12:53:03.798Z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