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716F" w14:textId="77777777" w:rsidR="00F4738D" w:rsidRDefault="00000000">
      <w:pPr>
        <w:spacing w:after="40"/>
      </w:pPr>
      <w:r>
        <w:rPr>
          <w:b/>
          <w:bCs/>
          <w:color w:val="0969DA"/>
          <w:sz w:val="24"/>
          <w:szCs w:val="24"/>
        </w:rPr>
        <w:t>KI-Verordnung Art. 50</w:t>
      </w:r>
    </w:p>
    <w:p w14:paraId="4BF89B85" w14:textId="77777777" w:rsidR="00F4738D" w:rsidRDefault="00000000">
      <w:pPr>
        <w:spacing w:after="60"/>
      </w:pPr>
      <w:r>
        <w:rPr>
          <w:b/>
          <w:bCs/>
          <w:sz w:val="40"/>
          <w:szCs w:val="40"/>
        </w:rPr>
        <w:t>Kennzeichnung KI-generierter Lehr- und Lernmaterialien</w:t>
      </w:r>
    </w:p>
    <w:p w14:paraId="1B73223F" w14:textId="77777777" w:rsidR="00F4738D" w:rsidRDefault="00000000">
      <w:pPr>
        <w:pBdr>
          <w:bottom w:val="single" w:sz="6" w:space="6" w:color="0969DA"/>
        </w:pBdr>
        <w:spacing w:after="120"/>
      </w:pPr>
      <w:r>
        <w:rPr>
          <w:i/>
          <w:iCs/>
          <w:color w:val="555555"/>
        </w:rPr>
        <w:t>Eine Entscheidungsgrundlage für Lehrkräfte – wann die Pflicht greift, wann nicht, und wie man eigene und Schülermaterialien einordnet</w:t>
      </w:r>
    </w:p>
    <w:p w14:paraId="2AF59811" w14:textId="77777777" w:rsidR="00F4738D" w:rsidRDefault="00000000">
      <w:pPr>
        <w:spacing w:after="140" w:line="276" w:lineRule="auto"/>
      </w:pPr>
      <w:r>
        <w:rPr>
          <w:color w:val="555555"/>
          <w:sz w:val="20"/>
          <w:szCs w:val="20"/>
        </w:rPr>
        <w:t xml:space="preserve">Bezug: Verordnung (EU) 2024/1689 (KI-VO), Art. 50 Abs. 4 </w:t>
      </w:r>
      <w:proofErr w:type="spellStart"/>
      <w:r>
        <w:rPr>
          <w:color w:val="555555"/>
          <w:sz w:val="20"/>
          <w:szCs w:val="20"/>
        </w:rPr>
        <w:t>i.V.m</w:t>
      </w:r>
      <w:proofErr w:type="spellEnd"/>
      <w:r>
        <w:rPr>
          <w:color w:val="555555"/>
          <w:sz w:val="20"/>
          <w:szCs w:val="20"/>
        </w:rPr>
        <w:t xml:space="preserve">. Erwägungsgrund 134 · Stand der Auslegung: Kommissions-Leitlinien (Entwurf, 8. Mai 2026) und Code </w:t>
      </w:r>
      <w:proofErr w:type="spellStart"/>
      <w:r>
        <w:rPr>
          <w:color w:val="555555"/>
          <w:sz w:val="20"/>
          <w:szCs w:val="20"/>
        </w:rPr>
        <w:t>of</w:t>
      </w:r>
      <w:proofErr w:type="spellEnd"/>
      <w:r>
        <w:rPr>
          <w:color w:val="555555"/>
          <w:sz w:val="20"/>
          <w:szCs w:val="20"/>
        </w:rPr>
        <w:t xml:space="preserve"> Practice</w:t>
      </w:r>
      <w:r>
        <w:rPr>
          <w:rStyle w:val="Funotenzeichen"/>
        </w:rPr>
        <w:footnoteReference w:id="1"/>
      </w:r>
    </w:p>
    <w:p w14:paraId="2AD77B1A" w14:textId="77777777" w:rsidR="00F4738D" w:rsidRDefault="00F4738D">
      <w:pPr>
        <w:spacing w:after="60"/>
      </w:pP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F4738D" w14:paraId="7F96644E" w14:textId="77777777" w:rsidTr="00D51A6B">
        <w:tblPrEx>
          <w:tblCellMar>
            <w:top w:w="0" w:type="dxa"/>
            <w:bottom w:w="0" w:type="dxa"/>
          </w:tblCellMar>
        </w:tblPrEx>
        <w:tc>
          <w:tcPr>
            <w:tcW w:w="10467" w:type="dxa"/>
            <w:tcBorders>
              <w:top w:val="single" w:sz="2" w:space="0" w:color="0969DA"/>
              <w:left w:val="single" w:sz="18" w:space="0" w:color="0969DA"/>
              <w:bottom w:val="single" w:sz="2" w:space="0" w:color="0969DA"/>
              <w:right w:val="single" w:sz="2" w:space="0" w:color="0969DA"/>
            </w:tcBorders>
            <w:shd w:val="clear" w:color="auto" w:fill="E7F0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79A4D65" w14:textId="77777777" w:rsidR="00F4738D" w:rsidRDefault="00000000">
            <w:pPr>
              <w:spacing w:after="80"/>
            </w:pPr>
            <w:r>
              <w:rPr>
                <w:b/>
                <w:bCs/>
                <w:color w:val="0969DA"/>
                <w:sz w:val="21"/>
                <w:szCs w:val="21"/>
              </w:rPr>
              <w:t>Kurzfazit in drei Sätzen</w:t>
            </w:r>
          </w:p>
          <w:p w14:paraId="6597D0F7" w14:textId="77777777" w:rsidR="00F4738D" w:rsidRDefault="00000000">
            <w:pPr>
              <w:spacing w:after="90"/>
            </w:pPr>
            <w:r>
              <w:rPr>
                <w:b/>
                <w:bCs/>
              </w:rPr>
              <w:t xml:space="preserve">Erstens: </w:t>
            </w:r>
            <w:r>
              <w:t>Reine, intern an die eigene Lerngruppe ausgegebene Lehrtexte lösen die Kennzeichnungspflicht des Art. 50 Abs. 4 KI-VO im Regelfall nicht aus – weil sie weder „veröffentlicht“ noch „zur Information der Öffentlichkeit“ bestimmt sind.</w:t>
            </w:r>
          </w:p>
          <w:p w14:paraId="0C387331" w14:textId="77777777" w:rsidR="00F4738D" w:rsidRDefault="00000000">
            <w:pPr>
              <w:spacing w:after="90"/>
            </w:pPr>
            <w:r>
              <w:rPr>
                <w:b/>
                <w:bCs/>
              </w:rPr>
              <w:t xml:space="preserve">Zweitens: </w:t>
            </w:r>
            <w:r>
              <w:t>Die Entwarnung gilt aber nicht pauschal. Sie kippt bei zwei Konstellationen: öffentlich publizierte Texte zu Themen von öffentlichem Interesse (z. B. Blog-Beiträge, Plattform-Artikel) und – wichtiger und im Originaldokument unterbelichtet – fotorealistische KI-Bilder, -Audios oder -Videos realer Personen/Ereignisse („Deepfakes“).</w:t>
            </w:r>
          </w:p>
          <w:p w14:paraId="6CA7E202" w14:textId="77777777" w:rsidR="00F4738D" w:rsidRDefault="00000000">
            <w:pPr>
              <w:spacing w:after="140" w:line="276" w:lineRule="auto"/>
            </w:pPr>
            <w:r>
              <w:rPr>
                <w:b/>
                <w:bCs/>
              </w:rPr>
              <w:t xml:space="preserve">Drittens: </w:t>
            </w:r>
            <w:r>
              <w:t>Die „redaktionelle Kontrolle“ rettet nur Texte, nicht Deepfakes – und auch das nur bei echter, dokumentierter Prüfung mit benannter Verantwortung.</w:t>
            </w:r>
          </w:p>
        </w:tc>
      </w:tr>
    </w:tbl>
    <w:p w14:paraId="4792EEA9" w14:textId="77777777" w:rsidR="00F4738D" w:rsidRDefault="00F4738D">
      <w:pPr>
        <w:spacing w:after="120"/>
      </w:pPr>
    </w:p>
    <w:p w14:paraId="6ADA99A4" w14:textId="77777777" w:rsidR="00F4738D" w:rsidRDefault="00000000">
      <w:pPr>
        <w:spacing w:before="120" w:after="100"/>
      </w:pPr>
      <w:r>
        <w:rPr>
          <w:b/>
          <w:bCs/>
          <w:color w:val="0969DA"/>
          <w:sz w:val="26"/>
          <w:szCs w:val="26"/>
        </w:rPr>
        <w:t>Inhalt</w:t>
      </w:r>
    </w:p>
    <w:p w14:paraId="5F451705" w14:textId="77777777" w:rsidR="00F4738D" w:rsidRDefault="00000000">
      <w:pPr>
        <w:spacing w:after="60"/>
        <w:ind w:left="200"/>
      </w:pPr>
      <w:r>
        <w:t>1 Rechtsrahmen und Geltung</w:t>
      </w:r>
    </w:p>
    <w:p w14:paraId="78911120" w14:textId="77777777" w:rsidR="00F4738D" w:rsidRDefault="00000000">
      <w:pPr>
        <w:spacing w:after="60"/>
        <w:ind w:left="200"/>
      </w:pPr>
      <w:r>
        <w:t>2 Die zwei Tatbestände des Art. 50 Abs. 4 – sauber getrennt</w:t>
      </w:r>
    </w:p>
    <w:p w14:paraId="704AF18F" w14:textId="77777777" w:rsidR="00F4738D" w:rsidRDefault="00000000">
      <w:pPr>
        <w:spacing w:after="60"/>
        <w:ind w:left="200"/>
      </w:pPr>
      <w:r>
        <w:t>3 Der entscheidende Hebel: „veröffentlicht“ und „Öffentlichkeit“</w:t>
      </w:r>
    </w:p>
    <w:p w14:paraId="0621DB63" w14:textId="77777777" w:rsidR="00F4738D" w:rsidRDefault="00000000">
      <w:pPr>
        <w:spacing w:after="60"/>
        <w:ind w:left="200"/>
      </w:pPr>
      <w:r>
        <w:t>4 Entscheidungsbaum – in fünf Fragen zur Einschätzung</w:t>
      </w:r>
    </w:p>
    <w:p w14:paraId="5BEA0FBF" w14:textId="77777777" w:rsidR="00F4738D" w:rsidRDefault="00000000">
      <w:pPr>
        <w:spacing w:after="60"/>
        <w:ind w:left="200"/>
      </w:pPr>
      <w:r>
        <w:t>5 Positiv-/Negativ-Katalog – konkrete Schulfälle</w:t>
      </w:r>
    </w:p>
    <w:p w14:paraId="3D6B07BA" w14:textId="77777777" w:rsidR="00F4738D" w:rsidRDefault="00000000">
      <w:pPr>
        <w:spacing w:after="60"/>
        <w:ind w:left="200"/>
      </w:pPr>
      <w:r>
        <w:t>6 Sonderfall Schülermaterialien</w:t>
      </w:r>
    </w:p>
    <w:p w14:paraId="4E142F47" w14:textId="77777777" w:rsidR="00F4738D" w:rsidRDefault="00000000">
      <w:pPr>
        <w:spacing w:after="60"/>
        <w:ind w:left="200"/>
      </w:pPr>
      <w:r>
        <w:t>7 Was die KI-VO nicht regelt – Abgrenzung zu anderen Pflichten</w:t>
      </w:r>
    </w:p>
    <w:p w14:paraId="7766A649" w14:textId="77777777" w:rsidR="00F4738D" w:rsidRDefault="00000000">
      <w:pPr>
        <w:spacing w:after="60"/>
        <w:ind w:left="200"/>
      </w:pPr>
      <w:r>
        <w:t>8 Handlungsempfehlungen für Schule und Plattform</w:t>
      </w:r>
    </w:p>
    <w:p w14:paraId="38062326" w14:textId="77777777" w:rsidR="00F4738D" w:rsidRDefault="00000000">
      <w:pPr>
        <w:spacing w:after="60"/>
        <w:ind w:left="200"/>
      </w:pPr>
      <w:r>
        <w:t>9 Quellen und Haftungshinweis</w:t>
      </w:r>
    </w:p>
    <w:p w14:paraId="5E7F408B" w14:textId="77777777" w:rsidR="00F4738D" w:rsidRDefault="00000000">
      <w:r>
        <w:br w:type="page"/>
      </w:r>
    </w:p>
    <w:p w14:paraId="52DC093C" w14:textId="77777777" w:rsidR="00F4738D" w:rsidRDefault="00000000">
      <w:pPr>
        <w:pStyle w:val="berschrift1"/>
      </w:pPr>
      <w:r>
        <w:lastRenderedPageBreak/>
        <w:t>1 Rechtsrahmen und Geltung</w:t>
      </w:r>
    </w:p>
    <w:p w14:paraId="5E5B1C7C" w14:textId="77777777" w:rsidR="00F4738D" w:rsidRDefault="00000000">
      <w:pPr>
        <w:spacing w:after="140" w:line="276" w:lineRule="auto"/>
      </w:pPr>
      <w:r>
        <w:t xml:space="preserve">Art. 50 KI-VO ist kein Hochrisiko-Regime, sondern ein </w:t>
      </w:r>
      <w:r>
        <w:rPr>
          <w:b/>
          <w:bCs/>
        </w:rPr>
        <w:t>Transparenz-Block</w:t>
      </w:r>
      <w:r>
        <w:t>. Er greift unabhängig davon, ob ein System als hochriskant eingestuft ist, und betrifft sehr viele Akteure – darunter ausdrücklich auch Bildungsanbieter. Der Block enthält vier getrennte Pflichten, von denen für Lehrkräfte vor allem Abs. 4 relevant ist:</w:t>
      </w:r>
    </w:p>
    <w:p w14:paraId="6860AB25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Abs. 1 – Interaktion: </w:t>
      </w:r>
      <w:r>
        <w:t>Wer ein KI-System einsetzt, mit dem Menschen direkt interagieren (Chatbot, KI-Tutor), muss offenlegen, dass es sich um KI handelt – sofern das nicht ohnehin offensichtlich ist.</w:t>
      </w:r>
      <w:r>
        <w:rPr>
          <w:rStyle w:val="Funotenzeichen"/>
        </w:rPr>
        <w:footnoteReference w:id="2"/>
      </w:r>
    </w:p>
    <w:p w14:paraId="5F928C12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Abs. 2 – Maschinenlesbare Markierung: </w:t>
      </w:r>
      <w:r>
        <w:t xml:space="preserve">Anbieter generativer Systeme müssen Ausgaben maschinenlesbar als KI-erzeugt markieren (Wasserzeichen, Metadaten). Diese Pflicht liegt beim Anbieter – also z. B. bei OpenAI, Google oder Anthropic –, </w:t>
      </w:r>
      <w:r>
        <w:rPr>
          <w:b/>
          <w:bCs/>
        </w:rPr>
        <w:t>nicht</w:t>
      </w:r>
      <w:r>
        <w:t xml:space="preserve"> bei der Lehrkraft.</w:t>
      </w:r>
      <w:r>
        <w:rPr>
          <w:rStyle w:val="Funotenzeichen"/>
        </w:rPr>
        <w:footnoteReference w:id="3"/>
      </w:r>
    </w:p>
    <w:p w14:paraId="14148262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Abs. 3 – Emotionserkennung / biometrische Kategorisierung: </w:t>
      </w:r>
      <w:r>
        <w:t>Für den Schulalltag in aller Regel ohne Bedeutung.</w:t>
      </w:r>
    </w:p>
    <w:p w14:paraId="71DA9608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Abs. 4 – Deepfakes und Texte im öffentlichen Interesse: </w:t>
      </w:r>
      <w:r>
        <w:t xml:space="preserve">Die </w:t>
      </w:r>
      <w:r>
        <w:rPr>
          <w:b/>
          <w:bCs/>
        </w:rPr>
        <w:t>Betreiberpflicht</w:t>
      </w:r>
      <w:r>
        <w:t>, um die es hier geht.</w:t>
      </w:r>
      <w:r>
        <w:rPr>
          <w:rStyle w:val="Funotenzeichen"/>
        </w:rPr>
        <w:footnoteReference w:id="4"/>
      </w:r>
    </w:p>
    <w:p w14:paraId="69BAA618" w14:textId="77777777" w:rsidR="00F4738D" w:rsidRDefault="00000000">
      <w:pPr>
        <w:pStyle w:val="berschrift2"/>
      </w:pPr>
      <w:r>
        <w:t>1.1 Anbieter ≠ Betreiber</w:t>
      </w:r>
    </w:p>
    <w:p w14:paraId="3882C3DB" w14:textId="77777777" w:rsidR="00F4738D" w:rsidRDefault="00000000">
      <w:pPr>
        <w:spacing w:after="140" w:line="276" w:lineRule="auto"/>
      </w:pPr>
      <w:r>
        <w:t xml:space="preserve">Die Verordnung trennt sauber zwischen </w:t>
      </w:r>
      <w:r>
        <w:rPr>
          <w:b/>
          <w:bCs/>
        </w:rPr>
        <w:t>Anbieter</w:t>
      </w:r>
      <w:r>
        <w:t xml:space="preserve"> (Art. 3 Nr. 3 – wer das System </w:t>
      </w:r>
      <w:proofErr w:type="gramStart"/>
      <w:r>
        <w:t>entwickelt</w:t>
      </w:r>
      <w:proofErr w:type="gramEnd"/>
      <w:r>
        <w:t xml:space="preserve"> und in Verkehr bringt) und </w:t>
      </w:r>
      <w:r>
        <w:rPr>
          <w:b/>
          <w:bCs/>
        </w:rPr>
        <w:t>Betreiber/</w:t>
      </w:r>
      <w:proofErr w:type="spellStart"/>
      <w:r>
        <w:rPr>
          <w:b/>
          <w:bCs/>
        </w:rPr>
        <w:t>Deployer</w:t>
      </w:r>
      <w:proofErr w:type="spellEnd"/>
      <w:r>
        <w:t xml:space="preserve"> (Art. 3 Nr. 4 – wer es in eigener beruflicher Verantwortung nutzt).</w:t>
      </w:r>
      <w:r>
        <w:rPr>
          <w:rStyle w:val="Funotenzeichen"/>
        </w:rPr>
        <w:footnoteReference w:id="5"/>
      </w:r>
      <w:r>
        <w:t xml:space="preserve"> Eine Lehrkraft, die ein KI-Werkzeug beruflich für Unterrichtsmaterial einsetzt, ist Betreiber. Sie schuldet nichts aus Abs. 2 (das ist Anbietersache), wohl aber potenziell die Offenlegung aus Abs. 4.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F4738D" w14:paraId="12257F51" w14:textId="77777777" w:rsidTr="00D51A6B">
        <w:tblPrEx>
          <w:tblCellMar>
            <w:top w:w="0" w:type="dxa"/>
            <w:bottom w:w="0" w:type="dxa"/>
          </w:tblCellMar>
        </w:tblPrEx>
        <w:tc>
          <w:tcPr>
            <w:tcW w:w="10467" w:type="dxa"/>
            <w:tcBorders>
              <w:top w:val="single" w:sz="2" w:space="0" w:color="BF8700"/>
              <w:left w:val="single" w:sz="18" w:space="0" w:color="BF8700"/>
              <w:bottom w:val="single" w:sz="2" w:space="0" w:color="BF8700"/>
              <w:right w:val="single" w:sz="2" w:space="0" w:color="BF8700"/>
            </w:tcBorders>
            <w:shd w:val="clear" w:color="auto" w:fill="FBF1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BA079EF" w14:textId="77777777" w:rsidR="00F4738D" w:rsidRDefault="00000000">
            <w:pPr>
              <w:spacing w:after="80"/>
            </w:pPr>
            <w:r>
              <w:rPr>
                <w:b/>
                <w:bCs/>
                <w:color w:val="8A6100"/>
                <w:sz w:val="21"/>
                <w:szCs w:val="21"/>
              </w:rPr>
              <w:t>Faustregel zur Rollenverteilung</w:t>
            </w:r>
          </w:p>
          <w:p w14:paraId="26728358" w14:textId="77777777" w:rsidR="00F4738D" w:rsidRDefault="00000000">
            <w:pPr>
              <w:spacing w:after="140" w:line="276" w:lineRule="auto"/>
            </w:pPr>
            <w:r>
              <w:t xml:space="preserve">Die </w:t>
            </w:r>
            <w:r>
              <w:rPr>
                <w:b/>
                <w:bCs/>
              </w:rPr>
              <w:t>unsichtbare</w:t>
            </w:r>
            <w:r>
              <w:t xml:space="preserve"> Markierung (Wasserzeichen/Metadaten) ist Anbietersache und läuft im Hintergrund. Die </w:t>
            </w:r>
            <w:r>
              <w:rPr>
                <w:b/>
                <w:bCs/>
              </w:rPr>
              <w:t>sichtbare</w:t>
            </w:r>
            <w:r>
              <w:t xml:space="preserve"> Offenlegung gegenüber dem Publikum ist Betreibersache – und nur diese müssen Sie selbst leisten, wenn der Tatbestand erfüllt ist.</w:t>
            </w:r>
          </w:p>
        </w:tc>
      </w:tr>
    </w:tbl>
    <w:p w14:paraId="439210AE" w14:textId="77777777" w:rsidR="00F4738D" w:rsidRDefault="00000000">
      <w:pPr>
        <w:pStyle w:val="berschrift2"/>
      </w:pPr>
      <w:r>
        <w:t>1.2 Ab wann, und mit welchem Gewicht</w:t>
      </w:r>
    </w:p>
    <w:p w14:paraId="5596BD46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Geltungsbeginn: </w:t>
      </w:r>
      <w:r>
        <w:t xml:space="preserve">Die Pflichten des Art. 50 gelten ab dem </w:t>
      </w:r>
      <w:r>
        <w:rPr>
          <w:b/>
          <w:bCs/>
        </w:rPr>
        <w:t>2. August 2026</w:t>
      </w:r>
      <w:r>
        <w:t>. Maßgeblich ist die deutsche Amtsfassung auf EUR-Lex.</w:t>
      </w:r>
    </w:p>
    <w:p w14:paraId="12E80D02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EU-Icons: </w:t>
      </w:r>
      <w:r>
        <w:t xml:space="preserve">Der von der Kommission veröffentlichte Icon-Satz ist </w:t>
      </w:r>
      <w:r>
        <w:rPr>
          <w:b/>
          <w:bCs/>
        </w:rPr>
        <w:t>freiwillig</w:t>
      </w:r>
      <w:r>
        <w:t>; verpflichtend ist allein die zugrunde liegende Offenlegung. Die Verwendung der Icons begründet für sich genommen noch keine Rechtskonformität.</w:t>
      </w:r>
    </w:p>
    <w:p w14:paraId="6B47D2C0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Leitlinien &amp; Code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Practice: </w:t>
      </w:r>
      <w:r>
        <w:t xml:space="preserve">Die Auslegung von „öffentlichem Interesse“, „Deepfake“ und „redaktionelle Kontrolle“ stammt aus den Kommissions-Leitlinien (Entwurf) und dem Code </w:t>
      </w:r>
      <w:proofErr w:type="spellStart"/>
      <w:r>
        <w:t>of</w:t>
      </w:r>
      <w:proofErr w:type="spellEnd"/>
      <w:r>
        <w:t xml:space="preserve"> Practice. Beides sind </w:t>
      </w:r>
      <w:r>
        <w:rPr>
          <w:b/>
          <w:bCs/>
        </w:rPr>
        <w:t>Auslegungshilfen, nicht bindendes Recht</w:t>
      </w:r>
      <w:r>
        <w:t xml:space="preserve"> – in der Praxis aber der maßgebliche Prüfungsmaßstab, an dem sich Aufsichtsbehörden orientieren werden.</w:t>
      </w:r>
      <w:r>
        <w:rPr>
          <w:rStyle w:val="Funotenzeichen"/>
        </w:rPr>
        <w:footnoteReference w:id="6"/>
      </w:r>
    </w:p>
    <w:p w14:paraId="3D6D0576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Erwägungsgründe: </w:t>
      </w:r>
      <w:proofErr w:type="spellStart"/>
      <w:r>
        <w:t>ErwG</w:t>
      </w:r>
      <w:proofErr w:type="spellEnd"/>
      <w:r>
        <w:t xml:space="preserve"> 134 erläutert Abs. 4, ist selbst aber nicht verpflichtend, sondern Auslegungshilfe.</w:t>
      </w:r>
    </w:p>
    <w:p w14:paraId="547F3D0B" w14:textId="77777777" w:rsidR="00D51A6B" w:rsidRDefault="00D51A6B" w:rsidP="00D51A6B">
      <w:pPr>
        <w:spacing w:after="60" w:line="268" w:lineRule="auto"/>
        <w:ind w:left="200"/>
      </w:pP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F4738D" w14:paraId="746BB8DE" w14:textId="77777777" w:rsidTr="00D51A6B">
        <w:tblPrEx>
          <w:tblCellMar>
            <w:top w:w="0" w:type="dxa"/>
            <w:bottom w:w="0" w:type="dxa"/>
          </w:tblCellMar>
        </w:tblPrEx>
        <w:tc>
          <w:tcPr>
            <w:tcW w:w="10467" w:type="dxa"/>
            <w:tcBorders>
              <w:top w:val="single" w:sz="2" w:space="0" w:color="AAAAAA"/>
              <w:left w:val="single" w:sz="18" w:space="0" w:color="AAAAAA"/>
              <w:bottom w:val="single" w:sz="2" w:space="0" w:color="AAAAAA"/>
              <w:right w:val="single" w:sz="2" w:space="0" w:color="AAAAAA"/>
            </w:tcBorders>
            <w:shd w:val="clear" w:color="auto" w:fill="F3F3F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A77677F" w14:textId="77777777" w:rsidR="00F4738D" w:rsidRDefault="00000000">
            <w:pPr>
              <w:spacing w:after="80"/>
            </w:pPr>
            <w:r>
              <w:rPr>
                <w:b/>
                <w:bCs/>
                <w:color w:val="555555"/>
                <w:sz w:val="21"/>
                <w:szCs w:val="21"/>
              </w:rPr>
              <w:lastRenderedPageBreak/>
              <w:t>Hinweis zum Originaldokument</w:t>
            </w:r>
          </w:p>
          <w:p w14:paraId="71CA2EA1" w14:textId="77777777" w:rsidR="00F4738D" w:rsidRDefault="00000000">
            <w:pPr>
              <w:spacing w:after="140" w:line="276" w:lineRule="auto"/>
            </w:pPr>
            <w:r>
              <w:t xml:space="preserve">Diese Einordnung deckt sich mit dem Ausgangspapier und ist juristisch tragfähig. Korrektur- und Ergänzungsbedarf besteht an zwei Stellen, die das Originalpapier zu knapp behandelt: (a) der </w:t>
            </w:r>
            <w:r>
              <w:rPr>
                <w:b/>
                <w:bCs/>
              </w:rPr>
              <w:t>Deepfake-Tatbestand</w:t>
            </w:r>
            <w:r>
              <w:t xml:space="preserve"> für Bild/Audio/Video, und (b) die Reichweite des Begriffs „veröffentlicht“. Beide werden in Abschnitt 2 und 3 entfaltet.</w:t>
            </w:r>
          </w:p>
        </w:tc>
      </w:tr>
    </w:tbl>
    <w:p w14:paraId="63A00984" w14:textId="4DEC2F2B" w:rsidR="00F4738D" w:rsidRDefault="00F4738D"/>
    <w:p w14:paraId="6AE297FF" w14:textId="77777777" w:rsidR="00D51A6B" w:rsidRDefault="00D51A6B">
      <w:pPr>
        <w:pStyle w:val="berschrift1"/>
      </w:pPr>
    </w:p>
    <w:p w14:paraId="0D9A0A50" w14:textId="78DA5457" w:rsidR="00F4738D" w:rsidRDefault="00000000">
      <w:pPr>
        <w:pStyle w:val="berschrift1"/>
      </w:pPr>
      <w:r>
        <w:t>2 Die zwei Tatbestände des Art. 50 Abs. 4 – sauber getrennt</w:t>
      </w:r>
    </w:p>
    <w:p w14:paraId="698A4E1E" w14:textId="77777777" w:rsidR="00F4738D" w:rsidRDefault="00000000">
      <w:pPr>
        <w:spacing w:after="140" w:line="276" w:lineRule="auto"/>
      </w:pPr>
      <w:r>
        <w:t xml:space="preserve">Der häufigste Fehler bei der Selbsteinschätzung ist, Abs. 4 als einen einzigen Tatbestand zu lesen. Tatsächlich enthält er </w:t>
      </w:r>
      <w:r>
        <w:rPr>
          <w:b/>
          <w:bCs/>
        </w:rPr>
        <w:t>zwei voneinander unabhängige Pflichten mit unterschiedlichen Auslöser- und Ausnahmeregeln</w:t>
      </w:r>
      <w:r>
        <w:t>. Das Originaldokument behandelt fast ausschließlich den Text-Fall – für Lehrkräfte ist aber der Bild-/Medien-Fall der wahrscheinlichere.</w:t>
      </w:r>
    </w:p>
    <w:p w14:paraId="79E3B16F" w14:textId="77777777" w:rsidR="00F4738D" w:rsidRDefault="00000000">
      <w:pPr>
        <w:pStyle w:val="berschrift2"/>
      </w:pPr>
      <w:r>
        <w:t>2.1 Tatbestand A – Deepfakes (Bild, Audio, Video)</w:t>
      </w:r>
    </w:p>
    <w:p w14:paraId="2F1AD5AD" w14:textId="77777777" w:rsidR="00F4738D" w:rsidRDefault="00000000">
      <w:pPr>
        <w:spacing w:after="140" w:line="276" w:lineRule="auto"/>
      </w:pPr>
      <w:r>
        <w:t xml:space="preserve">Betreiber, die mit KI Bild-, Audio- oder Videoinhalte erzeugen oder verändern, die ein </w:t>
      </w:r>
      <w:r>
        <w:rPr>
          <w:b/>
          <w:bCs/>
        </w:rPr>
        <w:t>„Deepfake“</w:t>
      </w:r>
      <w:r>
        <w:t xml:space="preserve"> darstellen, müssen offenlegen, dass der Inhalt künstlich erzeugt oder manipuliert wurde.</w:t>
      </w:r>
      <w:r>
        <w:rPr>
          <w:rStyle w:val="Funotenzeichen"/>
        </w:rPr>
        <w:footnoteReference w:id="7"/>
      </w:r>
      <w:r>
        <w:t xml:space="preserve"> Ein Deepfake ist nach Art. 3 Nr. 60 KI-VO Inhalt, der </w:t>
      </w:r>
      <w:r>
        <w:rPr>
          <w:b/>
          <w:bCs/>
        </w:rPr>
        <w:t>existierende Personen, Objekte, Orte oder Ereignisse abbildet</w:t>
      </w:r>
      <w:r>
        <w:t xml:space="preserve"> und einer Person fälschlich </w:t>
      </w:r>
      <w:r>
        <w:rPr>
          <w:b/>
          <w:bCs/>
        </w:rPr>
        <w:t>als echt oder wahrheitsgemäß erscheinen</w:t>
      </w:r>
      <w:r>
        <w:t xml:space="preserve"> würde.</w:t>
      </w:r>
      <w:r>
        <w:rPr>
          <w:rStyle w:val="Funotenzeichen"/>
        </w:rPr>
        <w:footnoteReference w:id="8"/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F4738D" w14:paraId="77CF1F10" w14:textId="77777777" w:rsidTr="00D51A6B">
        <w:tblPrEx>
          <w:tblCellMar>
            <w:top w:w="0" w:type="dxa"/>
            <w:bottom w:w="0" w:type="dxa"/>
          </w:tblCellMar>
        </w:tblPrEx>
        <w:tc>
          <w:tcPr>
            <w:tcW w:w="10467" w:type="dxa"/>
            <w:tcBorders>
              <w:top w:val="single" w:sz="2" w:space="0" w:color="BF8700"/>
              <w:left w:val="single" w:sz="18" w:space="0" w:color="BF8700"/>
              <w:bottom w:val="single" w:sz="2" w:space="0" w:color="BF8700"/>
              <w:right w:val="single" w:sz="2" w:space="0" w:color="BF8700"/>
            </w:tcBorders>
            <w:shd w:val="clear" w:color="auto" w:fill="FBF1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3842C7C" w14:textId="77777777" w:rsidR="00F4738D" w:rsidRDefault="00000000">
            <w:pPr>
              <w:spacing w:after="80"/>
            </w:pPr>
            <w:r>
              <w:rPr>
                <w:b/>
                <w:bCs/>
                <w:color w:val="8A6100"/>
                <w:sz w:val="21"/>
                <w:szCs w:val="21"/>
              </w:rPr>
              <w:t>Wichtige Klarstellung – hier greift die redaktionelle Ausnahme NICHT</w:t>
            </w:r>
          </w:p>
          <w:p w14:paraId="70AB5454" w14:textId="77777777" w:rsidR="00F4738D" w:rsidRDefault="00000000">
            <w:pPr>
              <w:spacing w:after="140" w:line="276" w:lineRule="auto"/>
            </w:pPr>
            <w:r>
              <w:t xml:space="preserve">Für Deepfakes gibt es </w:t>
            </w:r>
            <w:r>
              <w:rPr>
                <w:b/>
                <w:bCs/>
              </w:rPr>
              <w:t>keine</w:t>
            </w:r>
            <w:r>
              <w:t xml:space="preserve"> Ausnahme über „redaktionelle Kontrolle“. Es existieren nur zwei Erleichterungen: (1) das </w:t>
            </w:r>
            <w:r>
              <w:rPr>
                <w:b/>
                <w:bCs/>
              </w:rPr>
              <w:t>Kunst-/Fiktions-Privileg</w:t>
            </w:r>
            <w:r>
              <w:t xml:space="preserve"> (bei erkennbar künstlerischen, satirischen, fiktionalen Werken genügt eine nicht-störende Offenlegung) und (2) die Strafverfolgungs-Ausnahme. Wer den Text-Schutzschild des Originaldokuments gedanklich auf KI-Bilder überträgt, liegt falsch.</w:t>
            </w:r>
          </w:p>
        </w:tc>
      </w:tr>
    </w:tbl>
    <w:p w14:paraId="5FE78F17" w14:textId="77777777" w:rsidR="00F4738D" w:rsidRDefault="00000000">
      <w:pPr>
        <w:spacing w:after="140" w:line="276" w:lineRule="auto"/>
      </w:pPr>
      <w:r>
        <w:t>Drei Punkte sind für die Schulpraxis entscheidend:</w:t>
      </w:r>
    </w:p>
    <w:p w14:paraId="51693CF2" w14:textId="77777777" w:rsidR="00F4738D" w:rsidRDefault="00000000">
      <w:pPr>
        <w:pStyle w:val="Listenabsatz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Die Absicht zu täuschen ist irrelevant. </w:t>
      </w:r>
      <w:r>
        <w:t>Auch gut gemeinte, rein didaktische Manipulationen können Deepfakes sein, wenn sie den Bedeutungsgehalt real erscheinender Inhalte verändern.</w:t>
      </w:r>
    </w:p>
    <w:p w14:paraId="4D53F6B7" w14:textId="77777777" w:rsidR="00F4738D" w:rsidRDefault="00000000">
      <w:pPr>
        <w:pStyle w:val="Listenabsatz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Das Publikum zählt – und Schüler sind ein „verletzliches“ Publikum. </w:t>
      </w:r>
      <w:r>
        <w:t>Die Beurteilung berücksichtigt die mögliche Zusammensetzung des tatsächlich exponierten Publikums, ausdrücklich auch Kinder und Personen mit geringerer KI-Kompetenz. Genau das beschreibt eine Klasse.</w:t>
      </w:r>
    </w:p>
    <w:p w14:paraId="292CAC6A" w14:textId="77777777" w:rsidR="00F4738D" w:rsidRDefault="00000000">
      <w:pPr>
        <w:pStyle w:val="Listenabsatz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Klar Fantastisches und stilisierte Grafik fallen heraus. </w:t>
      </w:r>
      <w:r>
        <w:t xml:space="preserve">Ein Drache, ein erkennbar gezeichnetes Schaubild, ein Diagramm oder eine offensichtlich stilisierte Illustration sind keine Deepfakes. Die Risikozone ist das </w:t>
      </w:r>
      <w:r>
        <w:rPr>
          <w:b/>
          <w:bCs/>
        </w:rPr>
        <w:t>fotorealistische Falschbild realer Personen/Ereignisse</w:t>
      </w:r>
      <w:r>
        <w:t>.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F4738D" w14:paraId="3034571A" w14:textId="77777777" w:rsidTr="00D51A6B">
        <w:tblPrEx>
          <w:tblCellMar>
            <w:top w:w="0" w:type="dxa"/>
            <w:bottom w:w="0" w:type="dxa"/>
          </w:tblCellMar>
        </w:tblPrEx>
        <w:tc>
          <w:tcPr>
            <w:tcW w:w="10467" w:type="dxa"/>
            <w:tcBorders>
              <w:top w:val="single" w:sz="2" w:space="0" w:color="1A7F37"/>
              <w:left w:val="single" w:sz="18" w:space="0" w:color="1A7F37"/>
              <w:bottom w:val="single" w:sz="2" w:space="0" w:color="1A7F37"/>
              <w:right w:val="single" w:sz="2" w:space="0" w:color="1A7F37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1DF217F" w14:textId="77777777" w:rsidR="00F4738D" w:rsidRDefault="00000000">
            <w:pPr>
              <w:spacing w:after="80"/>
            </w:pPr>
            <w:r>
              <w:rPr>
                <w:b/>
                <w:bCs/>
                <w:color w:val="1A7F37"/>
                <w:sz w:val="21"/>
                <w:szCs w:val="21"/>
              </w:rPr>
              <w:t>Praktische Konsequenz für Bilder im Unterricht</w:t>
            </w:r>
          </w:p>
          <w:p w14:paraId="5814C772" w14:textId="77777777" w:rsidR="00F4738D" w:rsidRDefault="00000000">
            <w:pPr>
              <w:spacing w:after="140" w:line="276" w:lineRule="auto"/>
            </w:pPr>
            <w:r>
              <w:t xml:space="preserve">Diagramme, Schaubilder, Cartoons, klar stilisierte Illustrationen → </w:t>
            </w:r>
            <w:r>
              <w:rPr>
                <w:b/>
                <w:bCs/>
              </w:rPr>
              <w:t>unkritisch</w:t>
            </w:r>
            <w:r>
              <w:t xml:space="preserve">. Ein KI-erzeugtes „Foto“ einer realen historischen Person/eines realen Ereignisses, das wie eine echte Aufnahme aussieht → </w:t>
            </w:r>
            <w:r>
              <w:rPr>
                <w:b/>
                <w:bCs/>
              </w:rPr>
              <w:t>kennzeichnen</w:t>
            </w:r>
            <w:r>
              <w:t>, auch wenn es nur in der Klasse gezeigt wird. Bei erkennbar künstlerisch-fiktionalem Charakter reicht ein dezenter Hinweis.</w:t>
            </w:r>
          </w:p>
        </w:tc>
      </w:tr>
    </w:tbl>
    <w:p w14:paraId="62FE4F7E" w14:textId="77777777" w:rsidR="00F4738D" w:rsidRDefault="00000000">
      <w:pPr>
        <w:pStyle w:val="berschrift2"/>
      </w:pPr>
      <w:r>
        <w:lastRenderedPageBreak/>
        <w:t>2.2 Tatbestand B – Texte im öffentlichen Interesse</w:t>
      </w:r>
    </w:p>
    <w:p w14:paraId="513C86D0" w14:textId="77777777" w:rsidR="00F4738D" w:rsidRDefault="00000000">
      <w:pPr>
        <w:spacing w:after="140" w:line="276" w:lineRule="auto"/>
      </w:pPr>
      <w:r>
        <w:t xml:space="preserve">Betreiber, die mit </w:t>
      </w:r>
      <w:proofErr w:type="gramStart"/>
      <w:r>
        <w:t>KI Text</w:t>
      </w:r>
      <w:proofErr w:type="gramEnd"/>
      <w:r>
        <w:t xml:space="preserve"> erzeugen oder verändern, der </w:t>
      </w:r>
      <w:r>
        <w:rPr>
          <w:b/>
          <w:bCs/>
        </w:rPr>
        <w:t>zur Information der Öffentlichkeit über Angelegenheiten von öffentlichem Interesse veröffentlicht</w:t>
      </w:r>
      <w:r>
        <w:t xml:space="preserve"> wird, müssen die künstliche Erzeugung offenlegen.</w:t>
      </w:r>
    </w:p>
    <w:p w14:paraId="1A0CC4F0" w14:textId="77777777" w:rsidR="00F4738D" w:rsidRDefault="00000000">
      <w:pPr>
        <w:spacing w:after="140" w:line="276" w:lineRule="auto"/>
      </w:pPr>
      <w:r>
        <w:rPr>
          <w:b/>
          <w:bCs/>
        </w:rPr>
        <w:t>Der Tatbestand greift nur, wenn alle drei Merkmale kumulativ vorliegen:</w:t>
      </w:r>
    </w:p>
    <w:p w14:paraId="76EBE9D3" w14:textId="77777777" w:rsidR="00F4738D" w:rsidRDefault="00000000">
      <w:pPr>
        <w:pStyle w:val="Listenabsatz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Veröffentlicht </w:t>
      </w:r>
      <w:r>
        <w:t>– der Text wird publiziert (nicht: bleibt intern in einer geschlossenen Gruppe).</w:t>
      </w:r>
    </w:p>
    <w:p w14:paraId="53763E29" w14:textId="77777777" w:rsidR="00F4738D" w:rsidRDefault="00000000">
      <w:pPr>
        <w:pStyle w:val="Listenabsatz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Zweck = Öffentlichkeit informieren </w:t>
      </w:r>
      <w:r>
        <w:t>– entscheidend ist der Publikationszweck, nicht allein das Thema.</w:t>
      </w:r>
    </w:p>
    <w:p w14:paraId="7A3B8422" w14:textId="77777777" w:rsidR="00F4738D" w:rsidRDefault="00000000">
      <w:pPr>
        <w:pStyle w:val="Listenabsatz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Angelegenheit von öffentlichem Interesse </w:t>
      </w:r>
      <w:r>
        <w:t>– etwa Politik, Gesundheit, Wissenschaft für ein allgemeines Publikum.</w:t>
      </w:r>
    </w:p>
    <w:p w14:paraId="5848F301" w14:textId="77777777" w:rsidR="00F4738D" w:rsidRDefault="00000000">
      <w:pPr>
        <w:spacing w:after="140" w:line="276" w:lineRule="auto"/>
      </w:pPr>
      <w:r>
        <w:t xml:space="preserve">Fehlt auch nur eines der drei Merkmale, ist der Tatbestand nicht erfüllt. Reine Unterrichtsdokumentation, interne Arbeitsunterlagen und nicht publizierte Materialien fallen heraus. Öffentliche Gesundheitskommunikation, populärwissenschaftliche </w:t>
      </w:r>
      <w:proofErr w:type="spellStart"/>
      <w:r>
        <w:t>Erklärtexte</w:t>
      </w:r>
      <w:proofErr w:type="spellEnd"/>
      <w:r>
        <w:t xml:space="preserve"> für ein allgemeines Publikum oder Journalismus zu Public-Interest-Themen können hineinfallen.</w:t>
      </w:r>
    </w:p>
    <w:tbl>
      <w:tblPr>
        <w:tblW w:w="10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5"/>
      </w:tblGrid>
      <w:tr w:rsidR="00F4738D" w14:paraId="731E7BAB" w14:textId="77777777" w:rsidTr="00D51A6B">
        <w:tblPrEx>
          <w:tblCellMar>
            <w:top w:w="0" w:type="dxa"/>
            <w:bottom w:w="0" w:type="dxa"/>
          </w:tblCellMar>
        </w:tblPrEx>
        <w:tc>
          <w:tcPr>
            <w:tcW w:w="10325" w:type="dxa"/>
            <w:tcBorders>
              <w:top w:val="single" w:sz="2" w:space="0" w:color="0969DA"/>
              <w:left w:val="single" w:sz="18" w:space="0" w:color="0969DA"/>
              <w:bottom w:val="single" w:sz="2" w:space="0" w:color="0969DA"/>
              <w:right w:val="single" w:sz="2" w:space="0" w:color="0969DA"/>
            </w:tcBorders>
            <w:shd w:val="clear" w:color="auto" w:fill="E7F0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19F4183" w14:textId="77777777" w:rsidR="00F4738D" w:rsidRDefault="00000000">
            <w:pPr>
              <w:spacing w:after="80"/>
            </w:pPr>
            <w:r>
              <w:rPr>
                <w:b/>
                <w:bCs/>
                <w:color w:val="0969DA"/>
                <w:sz w:val="21"/>
                <w:szCs w:val="21"/>
              </w:rPr>
              <w:t>Vertiefung – die redaktionelle Ausnahme (nur Tatbestand B)</w:t>
            </w:r>
          </w:p>
          <w:p w14:paraId="55A0F164" w14:textId="77777777" w:rsidR="00F4738D" w:rsidRDefault="00000000">
            <w:pPr>
              <w:spacing w:after="80"/>
            </w:pPr>
            <w:r>
              <w:t xml:space="preserve">Für </w:t>
            </w:r>
            <w:r>
              <w:rPr>
                <w:b/>
                <w:bCs/>
              </w:rPr>
              <w:t>Texte</w:t>
            </w:r>
            <w:r>
              <w:t xml:space="preserve"> entfällt die Pflicht, wenn der KI-Inhalt einer </w:t>
            </w:r>
            <w:r>
              <w:rPr>
                <w:b/>
                <w:bCs/>
              </w:rPr>
              <w:t>menschlichen Prüfung oder redaktionellen Kontrolle</w:t>
            </w:r>
            <w:r>
              <w:t xml:space="preserve"> unterzogen wurde und eine natürliche oder juristische Person die </w:t>
            </w:r>
            <w:r>
              <w:rPr>
                <w:b/>
                <w:bCs/>
              </w:rPr>
              <w:t>redaktionelle Verantwortung</w:t>
            </w:r>
            <w:r>
              <w:t xml:space="preserve"> für die Veröffentlichung trägt.</w:t>
            </w:r>
            <w:r>
              <w:rPr>
                <w:rStyle w:val="Funotenzeichen"/>
              </w:rPr>
              <w:footnoteReference w:id="9"/>
            </w:r>
          </w:p>
          <w:p w14:paraId="1A596904" w14:textId="77777777" w:rsidR="00F4738D" w:rsidRDefault="00000000">
            <w:pPr>
              <w:spacing w:after="140" w:line="276" w:lineRule="auto"/>
            </w:pPr>
            <w:r>
              <w:t xml:space="preserve">Die Leitlinien und der Code </w:t>
            </w:r>
            <w:proofErr w:type="spellStart"/>
            <w:r>
              <w:t>of</w:t>
            </w:r>
            <w:proofErr w:type="spellEnd"/>
            <w:r>
              <w:t xml:space="preserve"> Practice legen diese Ausnahme </w:t>
            </w:r>
            <w:r>
              <w:rPr>
                <w:b/>
                <w:bCs/>
              </w:rPr>
              <w:t>eng</w:t>
            </w:r>
            <w:r>
              <w:t xml:space="preserve"> aus: Ein bloßer Rechtschreib- oder Formcheck genügt nicht. Verlangt werden eine </w:t>
            </w:r>
            <w:r>
              <w:rPr>
                <w:b/>
                <w:bCs/>
              </w:rPr>
              <w:t>inhaltlich substanzielle Prüfung</w:t>
            </w:r>
            <w:r>
              <w:t xml:space="preserve">, eine </w:t>
            </w:r>
            <w:r>
              <w:rPr>
                <w:b/>
                <w:bCs/>
              </w:rPr>
              <w:t>namentlich benannte verantwortliche Person</w:t>
            </w:r>
            <w:r>
              <w:t xml:space="preserve"> und idealerweise ein </w:t>
            </w:r>
            <w:r>
              <w:rPr>
                <w:b/>
                <w:bCs/>
              </w:rPr>
              <w:t>dokumentierter Workflow</w:t>
            </w:r>
            <w:r>
              <w:t>, der den Review belegt. „Grundidee vor Wortlaut“: nicht das Etikett „redaktionell geprüft“ zählt, sondern der tatsächliche, nachweisbare Prüfvorgang.</w:t>
            </w:r>
          </w:p>
        </w:tc>
      </w:tr>
    </w:tbl>
    <w:p w14:paraId="737B3851" w14:textId="77777777" w:rsidR="00F4738D" w:rsidRDefault="00000000">
      <w:r>
        <w:br w:type="page"/>
      </w:r>
    </w:p>
    <w:p w14:paraId="592C7C87" w14:textId="77777777" w:rsidR="00F4738D" w:rsidRDefault="00000000">
      <w:pPr>
        <w:pStyle w:val="berschrift1"/>
      </w:pPr>
      <w:r>
        <w:lastRenderedPageBreak/>
        <w:t>3 Der entscheidende Hebel: „veröffentlicht“ und „Öffentlichkeit“</w:t>
      </w:r>
    </w:p>
    <w:p w14:paraId="1AB21FB0" w14:textId="77777777" w:rsidR="00F4738D" w:rsidRDefault="00000000">
      <w:pPr>
        <w:spacing w:after="140" w:line="276" w:lineRule="auto"/>
      </w:pPr>
      <w:r>
        <w:t xml:space="preserve">Für Lehrkräfte ist die wichtigste Trennlinie nicht das Thema, sondern die </w:t>
      </w:r>
      <w:r>
        <w:rPr>
          <w:b/>
          <w:bCs/>
        </w:rPr>
        <w:t>Reichweite</w:t>
      </w:r>
      <w:r>
        <w:t>. Sie entscheidet bei Texten über das Merkmal „veröffentlicht“ und färbt bei Deepfakes auf die Frage ab, wer überhaupt exponiert wird.</w:t>
      </w:r>
    </w:p>
    <w:p w14:paraId="3E7651D8" w14:textId="77777777" w:rsidR="00F4738D" w:rsidRDefault="00000000">
      <w:pPr>
        <w:pStyle w:val="berschrift2"/>
      </w:pPr>
      <w:r>
        <w:t>3.1 </w:t>
      </w:r>
      <w:proofErr w:type="gramStart"/>
      <w:r>
        <w:t>Intern</w:t>
      </w:r>
      <w:proofErr w:type="gramEnd"/>
      <w:r>
        <w:t xml:space="preserve"> vs. öffentlich</w:t>
      </w:r>
    </w:p>
    <w:p w14:paraId="5C2E9A11" w14:textId="77777777" w:rsidR="00F4738D" w:rsidRDefault="00000000">
      <w:pPr>
        <w:spacing w:after="140" w:line="276" w:lineRule="auto"/>
      </w:pPr>
      <w:r>
        <w:t xml:space="preserve">Die Entwurfs-Leitlinien behandeln Inhalte, die auf eine </w:t>
      </w:r>
      <w:r>
        <w:rPr>
          <w:b/>
          <w:bCs/>
        </w:rPr>
        <w:t>geschlossene Gruppe</w:t>
      </w:r>
      <w:r>
        <w:t xml:space="preserve"> beschränkt bleiben oder reine interne Arbeitsunterlagen sind, </w:t>
      </w:r>
      <w:r>
        <w:rPr>
          <w:b/>
          <w:bCs/>
        </w:rPr>
        <w:t>nicht als „veröffentlicht“</w:t>
      </w:r>
      <w:r>
        <w:t>. Für den Text-Tatbestand bedeutet das: Material, das nur an die eigene Lerngruppe ausgegeben wird, liegt regelmäßig auf der sicheren Seite.</w:t>
      </w:r>
    </w:p>
    <w:tbl>
      <w:tblPr>
        <w:tblW w:w="10347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1"/>
        <w:gridCol w:w="5386"/>
      </w:tblGrid>
      <w:tr w:rsidR="00D51A6B" w14:paraId="19A22FBC" w14:textId="77777777" w:rsidTr="00D51A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61" w:type="dxa"/>
            <w:shd w:val="clear" w:color="auto" w:fill="0969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96CC6" w14:textId="77777777" w:rsidR="00F4738D" w:rsidRDefault="00000000">
            <w:r>
              <w:rPr>
                <w:b/>
                <w:bCs/>
                <w:color w:val="FFFFFF"/>
                <w:sz w:val="19"/>
                <w:szCs w:val="19"/>
              </w:rPr>
              <w:t>Eher INTERN – keine Veröffentlichung</w:t>
            </w:r>
          </w:p>
        </w:tc>
        <w:tc>
          <w:tcPr>
            <w:tcW w:w="5386" w:type="dxa"/>
            <w:shd w:val="clear" w:color="auto" w:fill="0969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E9F4D" w14:textId="77777777" w:rsidR="00F4738D" w:rsidRDefault="00000000">
            <w:r>
              <w:rPr>
                <w:b/>
                <w:bCs/>
                <w:color w:val="FFFFFF"/>
                <w:sz w:val="19"/>
                <w:szCs w:val="19"/>
              </w:rPr>
              <w:t>Eher ÖFFENTLICH – Veröffentlichung</w:t>
            </w:r>
          </w:p>
        </w:tc>
      </w:tr>
      <w:tr w:rsidR="00D51A6B" w14:paraId="0904C24E" w14:textId="77777777" w:rsidTr="00D51A6B">
        <w:tblPrEx>
          <w:tblCellMar>
            <w:top w:w="0" w:type="dxa"/>
            <w:bottom w:w="0" w:type="dxa"/>
          </w:tblCellMar>
        </w:tblPrEx>
        <w:tc>
          <w:tcPr>
            <w:tcW w:w="4961" w:type="dxa"/>
            <w:shd w:val="clear" w:color="auto" w:fill="F4F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DF2D8" w14:textId="77777777" w:rsidR="00F4738D" w:rsidRDefault="00000000">
            <w:r>
              <w:rPr>
                <w:sz w:val="19"/>
                <w:szCs w:val="19"/>
              </w:rPr>
              <w:t>Arbeitsblatt nur für die eigene Klasse</w:t>
            </w:r>
          </w:p>
        </w:tc>
        <w:tc>
          <w:tcPr>
            <w:tcW w:w="5386" w:type="dxa"/>
            <w:shd w:val="clear" w:color="auto" w:fill="FDF3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A4778" w14:textId="77777777" w:rsidR="00F4738D" w:rsidRDefault="00000000">
            <w:r>
              <w:rPr>
                <w:sz w:val="19"/>
                <w:szCs w:val="19"/>
              </w:rPr>
              <w:t>Beitrag auf einem öffentlichen Blog / einer Plattform</w:t>
            </w:r>
          </w:p>
        </w:tc>
      </w:tr>
      <w:tr w:rsidR="00D51A6B" w14:paraId="511C1B4F" w14:textId="77777777" w:rsidTr="00D51A6B">
        <w:tblPrEx>
          <w:tblCellMar>
            <w:top w:w="0" w:type="dxa"/>
            <w:bottom w:w="0" w:type="dxa"/>
          </w:tblCellMar>
        </w:tblPrEx>
        <w:tc>
          <w:tcPr>
            <w:tcW w:w="4961" w:type="dxa"/>
            <w:shd w:val="clear" w:color="auto" w:fill="F4F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ED99E" w14:textId="77777777" w:rsidR="00F4738D" w:rsidRDefault="00000000">
            <w:r>
              <w:rPr>
                <w:sz w:val="19"/>
                <w:szCs w:val="19"/>
              </w:rPr>
              <w:t>Material in der geschützten Lernplattform (</w:t>
            </w:r>
            <w:proofErr w:type="spellStart"/>
            <w:r>
              <w:rPr>
                <w:sz w:val="19"/>
                <w:szCs w:val="19"/>
              </w:rPr>
              <w:t>Moodle</w:t>
            </w:r>
            <w:proofErr w:type="spellEnd"/>
            <w:r>
              <w:rPr>
                <w:sz w:val="19"/>
                <w:szCs w:val="19"/>
              </w:rPr>
              <w:t>-Kurs, Teams-Team)</w:t>
            </w:r>
          </w:p>
        </w:tc>
        <w:tc>
          <w:tcPr>
            <w:tcW w:w="5386" w:type="dxa"/>
            <w:shd w:val="clear" w:color="auto" w:fill="FDF3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F4D79" w14:textId="77777777" w:rsidR="00F4738D" w:rsidRDefault="00000000">
            <w:r>
              <w:rPr>
                <w:sz w:val="19"/>
                <w:szCs w:val="19"/>
              </w:rPr>
              <w:t>Frei zugänglicher Social-Media-Post / öffentliches Video</w:t>
            </w:r>
          </w:p>
        </w:tc>
      </w:tr>
      <w:tr w:rsidR="00D51A6B" w14:paraId="36556BCF" w14:textId="77777777" w:rsidTr="00D51A6B">
        <w:tblPrEx>
          <w:tblCellMar>
            <w:top w:w="0" w:type="dxa"/>
            <w:bottom w:w="0" w:type="dxa"/>
          </w:tblCellMar>
        </w:tblPrEx>
        <w:tc>
          <w:tcPr>
            <w:tcW w:w="4961" w:type="dxa"/>
            <w:shd w:val="clear" w:color="auto" w:fill="F4F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0854F" w14:textId="77777777" w:rsidR="00F4738D" w:rsidRDefault="00000000">
            <w:r>
              <w:rPr>
                <w:sz w:val="19"/>
                <w:szCs w:val="19"/>
              </w:rPr>
              <w:t>Interne Handreichung im Kollegium</w:t>
            </w:r>
          </w:p>
        </w:tc>
        <w:tc>
          <w:tcPr>
            <w:tcW w:w="5386" w:type="dxa"/>
            <w:shd w:val="clear" w:color="auto" w:fill="FDF3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6F8D9" w14:textId="77777777" w:rsidR="00F4738D" w:rsidRDefault="00000000">
            <w:r>
              <w:rPr>
                <w:sz w:val="19"/>
                <w:szCs w:val="19"/>
              </w:rPr>
              <w:t>Öffentlicher Elternbrief / Pressemitteilung der Schule</w:t>
            </w:r>
          </w:p>
        </w:tc>
      </w:tr>
      <w:tr w:rsidR="00D51A6B" w14:paraId="2C197F8F" w14:textId="77777777" w:rsidTr="00D51A6B">
        <w:tblPrEx>
          <w:tblCellMar>
            <w:top w:w="0" w:type="dxa"/>
            <w:bottom w:w="0" w:type="dxa"/>
          </w:tblCellMar>
        </w:tblPrEx>
        <w:tc>
          <w:tcPr>
            <w:tcW w:w="4961" w:type="dxa"/>
            <w:shd w:val="clear" w:color="auto" w:fill="F4F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5A8EA" w14:textId="77777777" w:rsidR="00F4738D" w:rsidRDefault="00000000">
            <w:r>
              <w:rPr>
                <w:sz w:val="19"/>
                <w:szCs w:val="19"/>
              </w:rPr>
              <w:t>Entwurf / nicht verteilter Materialstand</w:t>
            </w:r>
          </w:p>
        </w:tc>
        <w:tc>
          <w:tcPr>
            <w:tcW w:w="5386" w:type="dxa"/>
            <w:shd w:val="clear" w:color="auto" w:fill="FDF3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DBBC7" w14:textId="77777777" w:rsidR="00F4738D" w:rsidRDefault="00000000">
            <w:r>
              <w:rPr>
                <w:sz w:val="19"/>
                <w:szCs w:val="19"/>
              </w:rPr>
              <w:t>Veröffentlichte Schulhomepage-Inhalte für die Allgemeinheit</w:t>
            </w:r>
          </w:p>
        </w:tc>
      </w:tr>
    </w:tbl>
    <w:p w14:paraId="693F689D" w14:textId="77777777" w:rsidR="00F4738D" w:rsidRDefault="00F4738D">
      <w:pPr>
        <w:spacing w:after="80"/>
      </w:pPr>
    </w:p>
    <w:tbl>
      <w:tblPr>
        <w:tblW w:w="10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5"/>
      </w:tblGrid>
      <w:tr w:rsidR="00F4738D" w14:paraId="0CB10BAB" w14:textId="77777777" w:rsidTr="00D51A6B">
        <w:tblPrEx>
          <w:tblCellMar>
            <w:top w:w="0" w:type="dxa"/>
            <w:bottom w:w="0" w:type="dxa"/>
          </w:tblCellMar>
        </w:tblPrEx>
        <w:tc>
          <w:tcPr>
            <w:tcW w:w="10325" w:type="dxa"/>
            <w:tcBorders>
              <w:top w:val="single" w:sz="2" w:space="0" w:color="BF8700"/>
              <w:left w:val="single" w:sz="18" w:space="0" w:color="BF8700"/>
              <w:bottom w:val="single" w:sz="2" w:space="0" w:color="BF8700"/>
              <w:right w:val="single" w:sz="2" w:space="0" w:color="BF8700"/>
            </w:tcBorders>
            <w:shd w:val="clear" w:color="auto" w:fill="FBF1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09D3CCE" w14:textId="2DB44D12" w:rsidR="00F4738D" w:rsidRDefault="00000000">
            <w:pPr>
              <w:spacing w:after="80"/>
            </w:pPr>
            <w:r>
              <w:rPr>
                <w:b/>
                <w:bCs/>
                <w:color w:val="8A6100"/>
                <w:sz w:val="21"/>
                <w:szCs w:val="21"/>
              </w:rPr>
              <w:t>Stolperstein für Plattform-Betreiber</w:t>
            </w:r>
          </w:p>
          <w:p w14:paraId="6B3288A5" w14:textId="77777777" w:rsidR="00F4738D" w:rsidRDefault="00000000">
            <w:pPr>
              <w:spacing w:after="140" w:line="276" w:lineRule="auto"/>
            </w:pPr>
            <w:r>
              <w:t xml:space="preserve">Sobald Lehr- oder </w:t>
            </w:r>
            <w:proofErr w:type="spellStart"/>
            <w:r>
              <w:t>Erklärinhalte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öffentlich publiziert</w:t>
            </w:r>
            <w:r>
              <w:t xml:space="preserve"> werden und ein </w:t>
            </w:r>
            <w:r>
              <w:rPr>
                <w:b/>
                <w:bCs/>
              </w:rPr>
              <w:t>Thema von öffentlichem Interesse</w:t>
            </w:r>
            <w:r>
              <w:t xml:space="preserve"> behandeln (z. B. KI-Politik, Gesundheit, Klima, gesellschaftliche Fragen), kann Tatbestand B greifen. Dann ist entweder die KI-Erzeugung offenzulegen </w:t>
            </w:r>
            <w:r>
              <w:rPr>
                <w:b/>
                <w:bCs/>
              </w:rPr>
              <w:t>oder</w:t>
            </w:r>
            <w:r>
              <w:t xml:space="preserve"> die redaktionelle Ausnahme sauber zu erfüllen (substanzielle Prüfung + benannte Verantwortung + Dokumentation). Die pauschale Aussage „Lehrmaterial fällt nie darunter“ ist für diesen Fall zu optimistisch.</w:t>
            </w:r>
          </w:p>
        </w:tc>
      </w:tr>
    </w:tbl>
    <w:p w14:paraId="2FC1F99F" w14:textId="77777777" w:rsidR="00D51A6B" w:rsidRDefault="00D51A6B">
      <w:pPr>
        <w:pStyle w:val="berschrift2"/>
      </w:pPr>
    </w:p>
    <w:p w14:paraId="7F195DFB" w14:textId="78FD7D6F" w:rsidR="00F4738D" w:rsidRDefault="00000000">
      <w:pPr>
        <w:pStyle w:val="berschrift2"/>
      </w:pPr>
      <w:r>
        <w:t>3.2 Was „öffentliches Interesse“ meint – und was nicht</w:t>
      </w:r>
    </w:p>
    <w:p w14:paraId="0B37759A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Eher drin: </w:t>
      </w:r>
      <w:r>
        <w:t xml:space="preserve">populärwissenschaftliche </w:t>
      </w:r>
      <w:proofErr w:type="spellStart"/>
      <w:r>
        <w:t>Erklärtexte</w:t>
      </w:r>
      <w:proofErr w:type="spellEnd"/>
      <w:r>
        <w:t xml:space="preserve"> für ein allgemeines Publikum, Beiträge zu gesellschaftlich-politischen Themen, Gesundheits-/Wissenschaftskommunikation.</w:t>
      </w:r>
    </w:p>
    <w:p w14:paraId="69A73B88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Eher draußen: </w:t>
      </w:r>
      <w:r>
        <w:t>rein fachlich-instruktive Inhalte ohne Öffentlichkeitsbezug (ein Aufgabenblatt zu quadratischen Gleichungen, eine Vokabelliste, eine Schritt-für-Schritt-Anleitung für ein Tool).</w:t>
      </w:r>
    </w:p>
    <w:p w14:paraId="4FA3BF26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>Reine Produktwerbung / interne Kommunikation</w:t>
      </w:r>
      <w:r>
        <w:t xml:space="preserve"> gilt grundsätzlich nicht als „im öffentlichen Interesse“ – es sei denn, sie ist als redaktioneller Inhalt zu gesellschaftsrelevanten Themen getarnt.</w:t>
      </w:r>
    </w:p>
    <w:p w14:paraId="57E9007A" w14:textId="77777777" w:rsidR="00F4738D" w:rsidRDefault="00000000">
      <w:r>
        <w:br w:type="page"/>
      </w:r>
    </w:p>
    <w:p w14:paraId="20C422D6" w14:textId="77777777" w:rsidR="00F4738D" w:rsidRDefault="00000000">
      <w:pPr>
        <w:pStyle w:val="berschrift1"/>
      </w:pPr>
      <w:r>
        <w:lastRenderedPageBreak/>
        <w:t>4 Entscheidungsbaum – in fünf Fragen zur Einschätzung</w:t>
      </w:r>
    </w:p>
    <w:p w14:paraId="1F792F68" w14:textId="77777777" w:rsidR="00F4738D" w:rsidRDefault="00000000">
      <w:pPr>
        <w:spacing w:after="140" w:line="276" w:lineRule="auto"/>
      </w:pPr>
      <w:r>
        <w:t>Die Prüfung läuft für jedes Material in der gleichen Reihenfolge. Sobald eine Frage Sie aus dem Tatbestand führt, ist die KI-VO-Kennzeichnungspflicht zu Ende (andere Kennzeichnungsgründe siehe Abschnitt 7).</w:t>
      </w:r>
    </w:p>
    <w:p w14:paraId="071C5D16" w14:textId="77777777" w:rsidR="00F4738D" w:rsidRDefault="00000000">
      <w:pPr>
        <w:pStyle w:val="berschrift3"/>
      </w:pPr>
      <w:r>
        <w:t>Schritt 1 – Welche Modalität?</w:t>
      </w:r>
    </w:p>
    <w:p w14:paraId="662BC039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>Bild / Audio / Video →</w:t>
      </w:r>
      <w:r>
        <w:t xml:space="preserve"> weiter mit Schritt 2 (Deepfake-Pfad).</w:t>
      </w:r>
    </w:p>
    <w:p w14:paraId="377A437E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>Text →</w:t>
      </w:r>
      <w:r>
        <w:t xml:space="preserve"> weiter mit Schritt 3 (Text-Pfad).</w:t>
      </w:r>
    </w:p>
    <w:p w14:paraId="687C0B1E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>Nur strukturierte Grafik (Diagramm, Schaubild, stilisierte Illustration) →</w:t>
      </w:r>
      <w:r>
        <w:t xml:space="preserve"> </w:t>
      </w:r>
      <w:r>
        <w:rPr>
          <w:b/>
          <w:bCs/>
        </w:rPr>
        <w:t>keine</w:t>
      </w:r>
      <w:r>
        <w:t xml:space="preserve"> KI-VO-Pflicht. Ende.</w:t>
      </w:r>
    </w:p>
    <w:p w14:paraId="79C36FA3" w14:textId="77777777" w:rsidR="00F4738D" w:rsidRDefault="00000000">
      <w:pPr>
        <w:pStyle w:val="berschrift3"/>
      </w:pPr>
      <w:r>
        <w:t>Schritt 2 – Deepfake-Pfad: Bildet der Inhalt real Erscheinendes ab?</w:t>
      </w:r>
    </w:p>
    <w:p w14:paraId="599EB613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>Klar fantastisch/unmöglich oder erkennbar stilisiert →</w:t>
      </w:r>
      <w:r>
        <w:t xml:space="preserve"> kein Deepfake. Ende.</w:t>
      </w:r>
    </w:p>
    <w:p w14:paraId="38BBEC77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>Fotorealistisch + reale Person/reales Ereignis, könnte als echt durchgehen →</w:t>
      </w:r>
      <w:r>
        <w:t xml:space="preserve"> Deepfake. </w:t>
      </w:r>
      <w:r>
        <w:rPr>
          <w:b/>
          <w:bCs/>
        </w:rPr>
        <w:t>Offenlegen.</w:t>
      </w:r>
      <w:r>
        <w:t xml:space="preserve"> Bei erkennbar künstlerisch-fiktionalem Werk: dezente Offenlegung genügt.</w:t>
      </w:r>
    </w:p>
    <w:p w14:paraId="1C6B6AD9" w14:textId="77777777" w:rsidR="00F4738D" w:rsidRDefault="00000000">
      <w:pPr>
        <w:pStyle w:val="berschrift3"/>
      </w:pPr>
      <w:r>
        <w:t>Schritt 3 – Text-Pfad: Wird der Text veröffentlicht?</w:t>
      </w:r>
    </w:p>
    <w:p w14:paraId="5FEEC399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>Nur intern / geschlossene Gruppe / eigene Klasse →</w:t>
      </w:r>
      <w:r>
        <w:t xml:space="preserve"> </w:t>
      </w:r>
      <w:r>
        <w:rPr>
          <w:b/>
          <w:bCs/>
        </w:rPr>
        <w:t>keine</w:t>
      </w:r>
      <w:r>
        <w:t xml:space="preserve"> KI-VO-Pflicht. Ende.</w:t>
      </w:r>
    </w:p>
    <w:p w14:paraId="65D2AA55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>Öffentlich publiziert →</w:t>
      </w:r>
      <w:r>
        <w:t xml:space="preserve"> weiter mit Schritt 4.</w:t>
      </w:r>
    </w:p>
    <w:p w14:paraId="5DDD7258" w14:textId="77777777" w:rsidR="00F4738D" w:rsidRDefault="00000000">
      <w:pPr>
        <w:pStyle w:val="berschrift3"/>
      </w:pPr>
      <w:r>
        <w:t>Schritt 4 – Thema von öffentlichem Interesse und Zweck = Öffentlichkeit informieren?</w:t>
      </w:r>
    </w:p>
    <w:p w14:paraId="1378704A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>Nein (rein instruktiv, ohne Öffentlichkeitsbezug) →</w:t>
      </w:r>
      <w:r>
        <w:t xml:space="preserve"> </w:t>
      </w:r>
      <w:r>
        <w:rPr>
          <w:b/>
          <w:bCs/>
        </w:rPr>
        <w:t>keine</w:t>
      </w:r>
      <w:r>
        <w:t xml:space="preserve"> KI-VO-Pflicht. Ende.</w:t>
      </w:r>
    </w:p>
    <w:p w14:paraId="0E7883F4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>Ja →</w:t>
      </w:r>
      <w:r>
        <w:t xml:space="preserve"> weiter mit Schritt 5.</w:t>
      </w:r>
    </w:p>
    <w:p w14:paraId="406ADC8A" w14:textId="77777777" w:rsidR="00F4738D" w:rsidRDefault="00000000">
      <w:pPr>
        <w:pStyle w:val="berschrift3"/>
      </w:pPr>
      <w:r>
        <w:t>Schritt 5 – Redaktionelle Ausnahme erfüllt?</w:t>
      </w:r>
    </w:p>
    <w:p w14:paraId="5E9B7D1D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>Substanzielle Prüfung + benannte Verantwortung (+ Doku) →</w:t>
      </w:r>
      <w:r>
        <w:t xml:space="preserve"> Pflicht entfällt. Ende.</w:t>
      </w:r>
    </w:p>
    <w:p w14:paraId="0E1B995B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>Nur Rechtschreibcheck oder gar nichts →</w:t>
      </w:r>
      <w:r>
        <w:t xml:space="preserve"> </w:t>
      </w:r>
      <w:r>
        <w:rPr>
          <w:b/>
          <w:bCs/>
        </w:rPr>
        <w:t>Offenlegen.</w:t>
      </w:r>
    </w:p>
    <w:p w14:paraId="53D6E70A" w14:textId="77777777" w:rsidR="00F4738D" w:rsidRDefault="00F4738D">
      <w:pPr>
        <w:spacing w:after="60"/>
      </w:pPr>
    </w:p>
    <w:tbl>
      <w:tblPr>
        <w:tblW w:w="10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5"/>
      </w:tblGrid>
      <w:tr w:rsidR="00F4738D" w14:paraId="296B1130" w14:textId="77777777" w:rsidTr="00D51A6B">
        <w:tblPrEx>
          <w:tblCellMar>
            <w:top w:w="0" w:type="dxa"/>
            <w:bottom w:w="0" w:type="dxa"/>
          </w:tblCellMar>
        </w:tblPrEx>
        <w:tc>
          <w:tcPr>
            <w:tcW w:w="10325" w:type="dxa"/>
            <w:tcBorders>
              <w:top w:val="single" w:sz="2" w:space="0" w:color="1A7F37"/>
              <w:left w:val="single" w:sz="18" w:space="0" w:color="1A7F37"/>
              <w:bottom w:val="single" w:sz="2" w:space="0" w:color="1A7F37"/>
              <w:right w:val="single" w:sz="2" w:space="0" w:color="1A7F37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66A4033" w14:textId="77777777" w:rsidR="00F4738D" w:rsidRDefault="00000000">
            <w:pPr>
              <w:spacing w:after="80"/>
            </w:pPr>
            <w:r>
              <w:rPr>
                <w:b/>
                <w:bCs/>
                <w:color w:val="1A7F37"/>
                <w:sz w:val="21"/>
                <w:szCs w:val="21"/>
              </w:rPr>
              <w:t>Merksatz</w:t>
            </w:r>
          </w:p>
          <w:p w14:paraId="652DCF00" w14:textId="77777777" w:rsidR="00F4738D" w:rsidRDefault="00000000">
            <w:pPr>
              <w:spacing w:after="140" w:line="276" w:lineRule="auto"/>
            </w:pPr>
            <w:r>
              <w:rPr>
                <w:b/>
                <w:bCs/>
              </w:rPr>
              <w:t>Bild realer Menschen, das echt aussieht – fast immer kennzeichnen. Text nur intern – fast nie. Text öffentlich zu Public-Interest-Themen – kennzeichnen oder echte Redaktion nachweisen.</w:t>
            </w:r>
          </w:p>
        </w:tc>
      </w:tr>
    </w:tbl>
    <w:p w14:paraId="0B7F1E48" w14:textId="77777777" w:rsidR="00F4738D" w:rsidRDefault="00000000">
      <w:r>
        <w:br w:type="page"/>
      </w:r>
    </w:p>
    <w:p w14:paraId="26B95A58" w14:textId="77777777" w:rsidR="00F4738D" w:rsidRDefault="00000000">
      <w:pPr>
        <w:pStyle w:val="berschrift1"/>
      </w:pPr>
      <w:r>
        <w:lastRenderedPageBreak/>
        <w:t>5 Positiv-/Negativ-Katalog – konkrete Schulfälle</w:t>
      </w:r>
    </w:p>
    <w:p w14:paraId="2FCB9F90" w14:textId="77777777" w:rsidR="00F4738D" w:rsidRDefault="00000000">
      <w:pPr>
        <w:spacing w:after="140" w:line="276" w:lineRule="auto"/>
      </w:pPr>
      <w:r>
        <w:t>Die folgende Tabelle wendet den Entscheidungsbaum auf typische Fälle an. „Kennzeichnen“ bezieht sich ausschließlich auf die KI-VO; zusätzliche Gründe (Urheber-, Persönlichkeits-, Prüfungsrecht) siehe Abschnitt 7.</w:t>
      </w:r>
    </w:p>
    <w:tbl>
      <w:tblPr>
        <w:tblW w:w="10489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2551"/>
        <w:gridCol w:w="2552"/>
      </w:tblGrid>
      <w:tr w:rsidR="00D51A6B" w14:paraId="24BBC196" w14:textId="77777777" w:rsidTr="00D456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86" w:type="dxa"/>
            <w:shd w:val="clear" w:color="auto" w:fill="0969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516A1" w14:textId="77777777" w:rsidR="00F4738D" w:rsidRDefault="00000000">
            <w:r>
              <w:rPr>
                <w:b/>
                <w:bCs/>
                <w:color w:val="FFFFFF"/>
                <w:sz w:val="19"/>
                <w:szCs w:val="19"/>
              </w:rPr>
              <w:t>Material / Situation</w:t>
            </w:r>
          </w:p>
        </w:tc>
        <w:tc>
          <w:tcPr>
            <w:tcW w:w="2551" w:type="dxa"/>
            <w:shd w:val="clear" w:color="auto" w:fill="0969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1E4A0" w14:textId="77777777" w:rsidR="00F4738D" w:rsidRDefault="00000000">
            <w:r>
              <w:rPr>
                <w:b/>
                <w:bCs/>
                <w:color w:val="FFFFFF"/>
                <w:sz w:val="19"/>
                <w:szCs w:val="19"/>
              </w:rPr>
              <w:t>Einordnung</w:t>
            </w:r>
          </w:p>
        </w:tc>
        <w:tc>
          <w:tcPr>
            <w:tcW w:w="2552" w:type="dxa"/>
            <w:shd w:val="clear" w:color="auto" w:fill="0969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C8234" w14:textId="77777777" w:rsidR="00F4738D" w:rsidRDefault="00000000">
            <w:r>
              <w:rPr>
                <w:b/>
                <w:bCs/>
                <w:color w:val="FFFFFF"/>
                <w:sz w:val="19"/>
                <w:szCs w:val="19"/>
              </w:rPr>
              <w:t>KI-VO-Pflicht?</w:t>
            </w:r>
          </w:p>
        </w:tc>
      </w:tr>
      <w:tr w:rsidR="00D51A6B" w14:paraId="5ECB1FD3" w14:textId="77777777" w:rsidTr="00D45643">
        <w:tblPrEx>
          <w:tblCellMar>
            <w:top w:w="0" w:type="dxa"/>
            <w:bottom w:w="0" w:type="dxa"/>
          </w:tblCellMar>
        </w:tblPrEx>
        <w:tc>
          <w:tcPr>
            <w:tcW w:w="53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E4FEA" w14:textId="77777777" w:rsidR="00F4738D" w:rsidRDefault="00000000">
            <w:r>
              <w:rPr>
                <w:sz w:val="19"/>
                <w:szCs w:val="19"/>
              </w:rPr>
              <w:t>Arbeitsblatt (Text), KI-erstellt, nur für die eigene Klasse</w:t>
            </w:r>
          </w:p>
        </w:tc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C953B" w14:textId="77777777" w:rsidR="00F4738D" w:rsidRDefault="00000000">
            <w:r>
              <w:rPr>
                <w:i/>
                <w:iCs/>
                <w:color w:val="555555"/>
                <w:sz w:val="19"/>
                <w:szCs w:val="19"/>
              </w:rPr>
              <w:t>Nicht veröffentlicht</w:t>
            </w:r>
          </w:p>
        </w:tc>
        <w:tc>
          <w:tcPr>
            <w:tcW w:w="2552" w:type="dxa"/>
            <w:shd w:val="clear" w:color="auto" w:fill="FDF3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5CE61" w14:textId="77777777" w:rsidR="00F4738D" w:rsidRDefault="00000000">
            <w:r>
              <w:rPr>
                <w:b/>
                <w:bCs/>
                <w:color w:val="B42318"/>
                <w:sz w:val="19"/>
                <w:szCs w:val="19"/>
              </w:rPr>
              <w:t>Nein</w:t>
            </w:r>
          </w:p>
        </w:tc>
      </w:tr>
      <w:tr w:rsidR="00D51A6B" w14:paraId="1AF970AD" w14:textId="77777777" w:rsidTr="00D45643">
        <w:tblPrEx>
          <w:tblCellMar>
            <w:top w:w="0" w:type="dxa"/>
            <w:bottom w:w="0" w:type="dxa"/>
          </w:tblCellMar>
        </w:tblPrEx>
        <w:tc>
          <w:tcPr>
            <w:tcW w:w="53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0D186" w14:textId="77777777" w:rsidR="00F4738D" w:rsidRDefault="00000000">
            <w:proofErr w:type="spellStart"/>
            <w:r>
              <w:rPr>
                <w:sz w:val="19"/>
                <w:szCs w:val="19"/>
              </w:rPr>
              <w:t>Erklärtext</w:t>
            </w:r>
            <w:proofErr w:type="spellEnd"/>
            <w:r>
              <w:rPr>
                <w:sz w:val="19"/>
                <w:szCs w:val="19"/>
              </w:rPr>
              <w:t xml:space="preserve"> zu „KI und Gesellschaft“, KI-erstellt, öffentlich auf der Plattform, ohne echte Redaktion</w:t>
            </w:r>
          </w:p>
        </w:tc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2BC6D" w14:textId="77777777" w:rsidR="00F4738D" w:rsidRDefault="00000000">
            <w:r>
              <w:rPr>
                <w:i/>
                <w:iCs/>
                <w:color w:val="555555"/>
                <w:sz w:val="19"/>
                <w:szCs w:val="19"/>
              </w:rPr>
              <w:t>Tatbestand B erfüllt</w:t>
            </w:r>
          </w:p>
        </w:tc>
        <w:tc>
          <w:tcPr>
            <w:tcW w:w="2552" w:type="dxa"/>
            <w:shd w:val="clear" w:color="auto" w:fill="FDF3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364A9" w14:textId="77777777" w:rsidR="00F4738D" w:rsidRDefault="00000000">
            <w:r>
              <w:rPr>
                <w:b/>
                <w:bCs/>
                <w:color w:val="B42318"/>
                <w:sz w:val="19"/>
                <w:szCs w:val="19"/>
              </w:rPr>
              <w:t>Ja – offenlegen oder Redaktion nachweisen</w:t>
            </w:r>
          </w:p>
        </w:tc>
      </w:tr>
      <w:tr w:rsidR="00D51A6B" w14:paraId="35AC0823" w14:textId="77777777" w:rsidTr="00D45643">
        <w:tblPrEx>
          <w:tblCellMar>
            <w:top w:w="0" w:type="dxa"/>
            <w:bottom w:w="0" w:type="dxa"/>
          </w:tblCellMar>
        </w:tblPrEx>
        <w:tc>
          <w:tcPr>
            <w:tcW w:w="53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4690C" w14:textId="77777777" w:rsidR="00F4738D" w:rsidRDefault="00000000">
            <w:r>
              <w:rPr>
                <w:sz w:val="19"/>
                <w:szCs w:val="19"/>
              </w:rPr>
              <w:t>Derselbe Plattform-Text, aber fachlich substanziell von einer benannten Person geprüft und dokumentiert</w:t>
            </w:r>
          </w:p>
        </w:tc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EE726" w14:textId="77777777" w:rsidR="00F4738D" w:rsidRDefault="00000000">
            <w:r>
              <w:rPr>
                <w:i/>
                <w:iCs/>
                <w:color w:val="555555"/>
                <w:sz w:val="19"/>
                <w:szCs w:val="19"/>
              </w:rPr>
              <w:t>Redaktionelle Ausnahme greift</w:t>
            </w:r>
          </w:p>
        </w:tc>
        <w:tc>
          <w:tcPr>
            <w:tcW w:w="2552" w:type="dxa"/>
            <w:shd w:val="clear" w:color="auto" w:fill="F4F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664F6" w14:textId="77777777" w:rsidR="00F4738D" w:rsidRDefault="00000000">
            <w:r>
              <w:rPr>
                <w:b/>
                <w:bCs/>
                <w:color w:val="1A7F37"/>
                <w:sz w:val="19"/>
                <w:szCs w:val="19"/>
              </w:rPr>
              <w:t>Nein</w:t>
            </w:r>
          </w:p>
        </w:tc>
      </w:tr>
      <w:tr w:rsidR="00D51A6B" w14:paraId="13A949D7" w14:textId="77777777" w:rsidTr="00D45643">
        <w:tblPrEx>
          <w:tblCellMar>
            <w:top w:w="0" w:type="dxa"/>
            <w:bottom w:w="0" w:type="dxa"/>
          </w:tblCellMar>
        </w:tblPrEx>
        <w:tc>
          <w:tcPr>
            <w:tcW w:w="53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0E73B" w14:textId="77777777" w:rsidR="00F4738D" w:rsidRDefault="00000000">
            <w:r>
              <w:rPr>
                <w:sz w:val="19"/>
                <w:szCs w:val="19"/>
              </w:rPr>
              <w:t>KI</w:t>
            </w:r>
            <w:proofErr w:type="gramStart"/>
            <w:r>
              <w:rPr>
                <w:sz w:val="19"/>
                <w:szCs w:val="19"/>
              </w:rPr>
              <w:t>-„</w:t>
            </w:r>
            <w:proofErr w:type="gramEnd"/>
            <w:r>
              <w:rPr>
                <w:sz w:val="19"/>
                <w:szCs w:val="19"/>
              </w:rPr>
              <w:t>Foto“ einer realen historischen Person, fotorealistisch, im Unterricht gezeigt</w:t>
            </w:r>
          </w:p>
        </w:tc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384F8" w14:textId="77777777" w:rsidR="00F4738D" w:rsidRDefault="00000000">
            <w:r>
              <w:rPr>
                <w:i/>
                <w:iCs/>
                <w:color w:val="555555"/>
                <w:sz w:val="19"/>
                <w:szCs w:val="19"/>
              </w:rPr>
              <w:t>Deepfake (Tatbestand A)</w:t>
            </w:r>
          </w:p>
        </w:tc>
        <w:tc>
          <w:tcPr>
            <w:tcW w:w="2552" w:type="dxa"/>
            <w:shd w:val="clear" w:color="auto" w:fill="FDF3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10352" w14:textId="77777777" w:rsidR="00F4738D" w:rsidRDefault="00000000">
            <w:r>
              <w:rPr>
                <w:b/>
                <w:bCs/>
                <w:color w:val="B42318"/>
                <w:sz w:val="19"/>
                <w:szCs w:val="19"/>
              </w:rPr>
              <w:t>Ja – offenlegen</w:t>
            </w:r>
          </w:p>
        </w:tc>
      </w:tr>
      <w:tr w:rsidR="00D51A6B" w14:paraId="48D75B73" w14:textId="77777777" w:rsidTr="00D45643">
        <w:tblPrEx>
          <w:tblCellMar>
            <w:top w:w="0" w:type="dxa"/>
            <w:bottom w:w="0" w:type="dxa"/>
          </w:tblCellMar>
        </w:tblPrEx>
        <w:tc>
          <w:tcPr>
            <w:tcW w:w="53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28A0E" w14:textId="77777777" w:rsidR="00F4738D" w:rsidRDefault="00000000">
            <w:r>
              <w:rPr>
                <w:sz w:val="19"/>
                <w:szCs w:val="19"/>
              </w:rPr>
              <w:t>KI-Stimme einer realen Person (Audio), die echt klingt</w:t>
            </w:r>
          </w:p>
        </w:tc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729D5" w14:textId="77777777" w:rsidR="00F4738D" w:rsidRDefault="00000000">
            <w:r>
              <w:rPr>
                <w:i/>
                <w:iCs/>
                <w:color w:val="555555"/>
                <w:sz w:val="19"/>
                <w:szCs w:val="19"/>
              </w:rPr>
              <w:t>Deepfake (Audio)</w:t>
            </w:r>
          </w:p>
        </w:tc>
        <w:tc>
          <w:tcPr>
            <w:tcW w:w="2552" w:type="dxa"/>
            <w:shd w:val="clear" w:color="auto" w:fill="FDF3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C95B0" w14:textId="77777777" w:rsidR="00F4738D" w:rsidRDefault="00000000">
            <w:r>
              <w:rPr>
                <w:b/>
                <w:bCs/>
                <w:color w:val="B42318"/>
                <w:sz w:val="19"/>
                <w:szCs w:val="19"/>
              </w:rPr>
              <w:t>Ja – offenlegen</w:t>
            </w:r>
          </w:p>
        </w:tc>
      </w:tr>
      <w:tr w:rsidR="00D51A6B" w14:paraId="5DB30E7C" w14:textId="77777777" w:rsidTr="00D45643">
        <w:tblPrEx>
          <w:tblCellMar>
            <w:top w:w="0" w:type="dxa"/>
            <w:bottom w:w="0" w:type="dxa"/>
          </w:tblCellMar>
        </w:tblPrEx>
        <w:tc>
          <w:tcPr>
            <w:tcW w:w="53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C34CE" w14:textId="77777777" w:rsidR="00F4738D" w:rsidRDefault="00000000">
            <w:r>
              <w:rPr>
                <w:sz w:val="19"/>
                <w:szCs w:val="19"/>
              </w:rPr>
              <w:t>KI-erzeugtes Diagramm / Schaubild / stilisierte Illustration</w:t>
            </w:r>
          </w:p>
        </w:tc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27724" w14:textId="77777777" w:rsidR="00F4738D" w:rsidRDefault="00000000">
            <w:r>
              <w:rPr>
                <w:i/>
                <w:iCs/>
                <w:color w:val="555555"/>
                <w:sz w:val="19"/>
                <w:szCs w:val="19"/>
              </w:rPr>
              <w:t>Keine reale Abbildung</w:t>
            </w:r>
          </w:p>
        </w:tc>
        <w:tc>
          <w:tcPr>
            <w:tcW w:w="2552" w:type="dxa"/>
            <w:shd w:val="clear" w:color="auto" w:fill="F4F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14B50" w14:textId="77777777" w:rsidR="00F4738D" w:rsidRDefault="00000000">
            <w:r>
              <w:rPr>
                <w:b/>
                <w:bCs/>
                <w:color w:val="1A7F37"/>
                <w:sz w:val="19"/>
                <w:szCs w:val="19"/>
              </w:rPr>
              <w:t>Nein</w:t>
            </w:r>
          </w:p>
        </w:tc>
      </w:tr>
      <w:tr w:rsidR="00D51A6B" w14:paraId="6A0A0601" w14:textId="77777777" w:rsidTr="00D45643">
        <w:tblPrEx>
          <w:tblCellMar>
            <w:top w:w="0" w:type="dxa"/>
            <w:bottom w:w="0" w:type="dxa"/>
          </w:tblCellMar>
        </w:tblPrEx>
        <w:tc>
          <w:tcPr>
            <w:tcW w:w="53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F9466" w14:textId="77777777" w:rsidR="00F4738D" w:rsidRDefault="00000000">
            <w:r>
              <w:rPr>
                <w:sz w:val="19"/>
                <w:szCs w:val="19"/>
              </w:rPr>
              <w:t>Erkennbar fiktionale, künstlerische KI-Szene (z. B. Comic-Stil) für ein Story-Projekt</w:t>
            </w:r>
          </w:p>
        </w:tc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CCF5D" w14:textId="77777777" w:rsidR="00F4738D" w:rsidRDefault="00000000">
            <w:r>
              <w:rPr>
                <w:i/>
                <w:iCs/>
                <w:color w:val="555555"/>
                <w:sz w:val="19"/>
                <w:szCs w:val="19"/>
              </w:rPr>
              <w:t>Kunst-/Fiktions-Privileg</w:t>
            </w:r>
          </w:p>
        </w:tc>
        <w:tc>
          <w:tcPr>
            <w:tcW w:w="2552" w:type="dxa"/>
            <w:shd w:val="clear" w:color="auto" w:fill="F4F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C1978" w14:textId="77777777" w:rsidR="00F4738D" w:rsidRDefault="00000000">
            <w:r>
              <w:rPr>
                <w:b/>
                <w:bCs/>
                <w:color w:val="1A7F37"/>
                <w:sz w:val="19"/>
                <w:szCs w:val="19"/>
              </w:rPr>
              <w:t>Nur dezenter Hinweis</w:t>
            </w:r>
          </w:p>
        </w:tc>
      </w:tr>
      <w:tr w:rsidR="00D51A6B" w14:paraId="27A14451" w14:textId="77777777" w:rsidTr="00D45643">
        <w:tblPrEx>
          <w:tblCellMar>
            <w:top w:w="0" w:type="dxa"/>
            <w:bottom w:w="0" w:type="dxa"/>
          </w:tblCellMar>
        </w:tblPrEx>
        <w:tc>
          <w:tcPr>
            <w:tcW w:w="53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5467B" w14:textId="77777777" w:rsidR="00F4738D" w:rsidRDefault="00000000">
            <w:r>
              <w:rPr>
                <w:sz w:val="19"/>
                <w:szCs w:val="19"/>
              </w:rPr>
              <w:t>KI-Tutor/Chatbot, den die Lehrkraft für Schüler bereitstellt</w:t>
            </w:r>
          </w:p>
        </w:tc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DA8AA" w14:textId="77777777" w:rsidR="00F4738D" w:rsidRDefault="00000000">
            <w:r>
              <w:rPr>
                <w:i/>
                <w:iCs/>
                <w:color w:val="555555"/>
                <w:sz w:val="19"/>
                <w:szCs w:val="19"/>
              </w:rPr>
              <w:t>Abs. 1 (Interaktion)</w:t>
            </w:r>
          </w:p>
        </w:tc>
        <w:tc>
          <w:tcPr>
            <w:tcW w:w="2552" w:type="dxa"/>
            <w:shd w:val="clear" w:color="auto" w:fill="FDF3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C3C47" w14:textId="77777777" w:rsidR="00F4738D" w:rsidRDefault="00000000">
            <w:r>
              <w:rPr>
                <w:b/>
                <w:bCs/>
                <w:color w:val="B42318"/>
                <w:sz w:val="19"/>
                <w:szCs w:val="19"/>
              </w:rPr>
              <w:t>Ja – als KI ausweisen</w:t>
            </w:r>
          </w:p>
        </w:tc>
      </w:tr>
      <w:tr w:rsidR="00D51A6B" w14:paraId="32CCECE1" w14:textId="77777777" w:rsidTr="00D45643">
        <w:tblPrEx>
          <w:tblCellMar>
            <w:top w:w="0" w:type="dxa"/>
            <w:bottom w:w="0" w:type="dxa"/>
          </w:tblCellMar>
        </w:tblPrEx>
        <w:tc>
          <w:tcPr>
            <w:tcW w:w="53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69DB5" w14:textId="77777777" w:rsidR="00F4738D" w:rsidRDefault="00000000">
            <w:r>
              <w:rPr>
                <w:sz w:val="19"/>
                <w:szCs w:val="19"/>
              </w:rPr>
              <w:t>KI-erstellter interner Elternbrief-Entwurf, noch nicht verteilt</w:t>
            </w:r>
          </w:p>
        </w:tc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D1122" w14:textId="77777777" w:rsidR="00F4738D" w:rsidRDefault="00000000">
            <w:r>
              <w:rPr>
                <w:i/>
                <w:iCs/>
                <w:color w:val="555555"/>
                <w:sz w:val="19"/>
                <w:szCs w:val="19"/>
              </w:rPr>
              <w:t>Nicht veröffentlicht</w:t>
            </w:r>
          </w:p>
        </w:tc>
        <w:tc>
          <w:tcPr>
            <w:tcW w:w="2552" w:type="dxa"/>
            <w:shd w:val="clear" w:color="auto" w:fill="F4F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6F9E0" w14:textId="77777777" w:rsidR="00F4738D" w:rsidRDefault="00000000">
            <w:r>
              <w:rPr>
                <w:b/>
                <w:bCs/>
                <w:color w:val="1A7F37"/>
                <w:sz w:val="19"/>
                <w:szCs w:val="19"/>
              </w:rPr>
              <w:t>Nein</w:t>
            </w:r>
          </w:p>
        </w:tc>
      </w:tr>
      <w:tr w:rsidR="00D51A6B" w14:paraId="326169B4" w14:textId="77777777" w:rsidTr="00D45643">
        <w:tblPrEx>
          <w:tblCellMar>
            <w:top w:w="0" w:type="dxa"/>
            <w:bottom w:w="0" w:type="dxa"/>
          </w:tblCellMar>
        </w:tblPrEx>
        <w:tc>
          <w:tcPr>
            <w:tcW w:w="53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839CB" w14:textId="77777777" w:rsidR="00F4738D" w:rsidRDefault="00000000">
            <w:r>
              <w:rPr>
                <w:sz w:val="19"/>
                <w:szCs w:val="19"/>
              </w:rPr>
              <w:t>KI-erstellte öffentliche Pressemitteilung der Schule zu einem gesellschaftlichen Thema</w:t>
            </w:r>
          </w:p>
        </w:tc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E1A95" w14:textId="77777777" w:rsidR="00F4738D" w:rsidRDefault="00000000">
            <w:r>
              <w:rPr>
                <w:i/>
                <w:iCs/>
                <w:color w:val="555555"/>
                <w:sz w:val="19"/>
                <w:szCs w:val="19"/>
              </w:rPr>
              <w:t>Tatbestand B möglich</w:t>
            </w:r>
          </w:p>
        </w:tc>
        <w:tc>
          <w:tcPr>
            <w:tcW w:w="2552" w:type="dxa"/>
            <w:shd w:val="clear" w:color="auto" w:fill="FDF3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E8717" w14:textId="77777777" w:rsidR="00F4738D" w:rsidRDefault="00000000">
            <w:r>
              <w:rPr>
                <w:b/>
                <w:bCs/>
                <w:color w:val="B42318"/>
                <w:sz w:val="19"/>
                <w:szCs w:val="19"/>
              </w:rPr>
              <w:t>Prüfen – ggf. offenlegen/Redaktion</w:t>
            </w:r>
          </w:p>
        </w:tc>
      </w:tr>
    </w:tbl>
    <w:p w14:paraId="5E20EB0A" w14:textId="5168B4F8" w:rsidR="00F4738D" w:rsidRDefault="00F4738D"/>
    <w:p w14:paraId="6713E460" w14:textId="77777777" w:rsidR="00D45643" w:rsidRDefault="00D45643"/>
    <w:p w14:paraId="2FE5D7DE" w14:textId="77777777" w:rsidR="00F4738D" w:rsidRDefault="00000000">
      <w:pPr>
        <w:pStyle w:val="berschrift1"/>
      </w:pPr>
      <w:r>
        <w:t>6 Sonderfall Schülermaterialien</w:t>
      </w:r>
    </w:p>
    <w:p w14:paraId="1F973572" w14:textId="77777777" w:rsidR="00F4738D" w:rsidRDefault="00000000">
      <w:pPr>
        <w:spacing w:after="140" w:line="276" w:lineRule="auto"/>
      </w:pPr>
      <w:r>
        <w:t xml:space="preserve">Ein häufig übersehener Punkt: Schülerinnen und Schüler sind für ihre eigenen Schularbeiten </w:t>
      </w:r>
      <w:r>
        <w:rPr>
          <w:b/>
          <w:bCs/>
        </w:rPr>
        <w:t>in aller Regel keine „Betreiber“</w:t>
      </w:r>
      <w:r>
        <w:t xml:space="preserve"> im Sinne der KI-VO. Die Definition in Art. 3 Nr. 4 nimmt die </w:t>
      </w:r>
      <w:r>
        <w:rPr>
          <w:b/>
          <w:bCs/>
        </w:rPr>
        <w:t>„persönliche, nicht-berufliche Tätigkeit“</w:t>
      </w:r>
      <w:r>
        <w:t xml:space="preserve"> ausdrücklich aus.</w:t>
      </w:r>
      <w:r>
        <w:rPr>
          <w:rStyle w:val="Funotenzeichen"/>
        </w:rPr>
        <w:footnoteReference w:id="10"/>
      </w:r>
      <w:r>
        <w:t xml:space="preserve"> Wer als </w:t>
      </w:r>
      <w:proofErr w:type="spellStart"/>
      <w:proofErr w:type="gramStart"/>
      <w:r>
        <w:t>Lernende:r</w:t>
      </w:r>
      <w:proofErr w:type="spellEnd"/>
      <w:proofErr w:type="gramEnd"/>
      <w:r>
        <w:t xml:space="preserve"> KI für eine Hausaufgabe, ein Referat oder eine GFS nutzt, handelt nicht beruflich – und löst damit die Betreiberpflichten des Abs. 4 grundsätzlich nicht aus.</w:t>
      </w:r>
    </w:p>
    <w:tbl>
      <w:tblPr>
        <w:tblW w:w="10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5"/>
      </w:tblGrid>
      <w:tr w:rsidR="00F4738D" w14:paraId="031E1AD4" w14:textId="77777777" w:rsidTr="00D51A6B">
        <w:tblPrEx>
          <w:tblCellMar>
            <w:top w:w="0" w:type="dxa"/>
            <w:bottom w:w="0" w:type="dxa"/>
          </w:tblCellMar>
        </w:tblPrEx>
        <w:tc>
          <w:tcPr>
            <w:tcW w:w="10325" w:type="dxa"/>
            <w:tcBorders>
              <w:top w:val="single" w:sz="2" w:space="0" w:color="0969DA"/>
              <w:left w:val="single" w:sz="18" w:space="0" w:color="0969DA"/>
              <w:bottom w:val="single" w:sz="2" w:space="0" w:color="0969DA"/>
              <w:right w:val="single" w:sz="2" w:space="0" w:color="0969DA"/>
            </w:tcBorders>
            <w:shd w:val="clear" w:color="auto" w:fill="E7F0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6EA0912" w14:textId="77777777" w:rsidR="00F4738D" w:rsidRDefault="00000000">
            <w:pPr>
              <w:spacing w:after="80"/>
            </w:pPr>
            <w:r>
              <w:rPr>
                <w:b/>
                <w:bCs/>
                <w:color w:val="0969DA"/>
                <w:sz w:val="21"/>
                <w:szCs w:val="21"/>
              </w:rPr>
              <w:t>Daraus folgt eine wichtige Doppelbotschaft</w:t>
            </w:r>
          </w:p>
          <w:p w14:paraId="5B6AA2EC" w14:textId="77777777" w:rsidR="00F4738D" w:rsidRDefault="00000000">
            <w:pPr>
              <w:spacing w:after="80"/>
            </w:pPr>
            <w:r>
              <w:rPr>
                <w:b/>
                <w:bCs/>
              </w:rPr>
              <w:t xml:space="preserve">Rechtlich (KI-VO): </w:t>
            </w:r>
            <w:r>
              <w:t>Schülermaterialien für den Unterricht unterliegen der KI-VO-Kennzeichnungspflicht im Normalfall nicht.</w:t>
            </w:r>
          </w:p>
          <w:p w14:paraId="24F91818" w14:textId="77777777" w:rsidR="00F4738D" w:rsidRDefault="00000000">
            <w:pPr>
              <w:spacing w:after="140" w:line="276" w:lineRule="auto"/>
            </w:pPr>
            <w:r>
              <w:rPr>
                <w:b/>
                <w:bCs/>
              </w:rPr>
              <w:t xml:space="preserve">Didaktisch und prüfungsrechtlich: </w:t>
            </w:r>
            <w:r>
              <w:t xml:space="preserve">Eine Kennzeichnungs- bzw. Offenlegungspflicht kann trotzdem bestehen – aber aus </w:t>
            </w:r>
            <w:r>
              <w:rPr>
                <w:b/>
                <w:bCs/>
              </w:rPr>
              <w:t>anderer Quelle</w:t>
            </w:r>
            <w:r>
              <w:t>: aus der Eigenständigkeitserklärung, dem Prüfungs- und Bewertungsrecht der Schule und dem Gebot wissenschaftlicher Redlichkeit. Diese Pflicht setzt die Lehrkraft/Schule, nicht die KI-VO.</w:t>
            </w:r>
          </w:p>
        </w:tc>
      </w:tr>
    </w:tbl>
    <w:p w14:paraId="393133EB" w14:textId="77777777" w:rsidR="00D45643" w:rsidRDefault="00D45643">
      <w:pPr>
        <w:spacing w:after="140" w:line="276" w:lineRule="auto"/>
      </w:pPr>
    </w:p>
    <w:p w14:paraId="34F7DCC8" w14:textId="0237FEA8" w:rsidR="00F4738D" w:rsidRDefault="00000000">
      <w:pPr>
        <w:spacing w:after="140" w:line="276" w:lineRule="auto"/>
      </w:pPr>
      <w:r>
        <w:t xml:space="preserve">Für die Unterrichtspraxis ist diese Unterscheidung ein Lerngegenstand: Lernende sollten die KI-Nutzung transparent machen, </w:t>
      </w:r>
      <w:r>
        <w:rPr>
          <w:b/>
          <w:bCs/>
        </w:rPr>
        <w:t>weil es gute wissenschaftliche Praxis ist</w:t>
      </w:r>
      <w:r>
        <w:t xml:space="preserve"> – nicht, weil die KI-VO sie dazu zwingt. Das trennt sauber zwischen Recht (was muss man) und Ethik/Redlichkeit (was sollte man).</w:t>
      </w:r>
    </w:p>
    <w:p w14:paraId="23DDAD1E" w14:textId="77777777" w:rsidR="00F4738D" w:rsidRDefault="00000000">
      <w:pPr>
        <w:pStyle w:val="berschrift1"/>
      </w:pPr>
      <w:r>
        <w:lastRenderedPageBreak/>
        <w:t>7 Was die KI-VO nicht regelt – Abgrenzung zu anderen Pflichten</w:t>
      </w:r>
    </w:p>
    <w:p w14:paraId="0A4714D2" w14:textId="77777777" w:rsidR="00F4738D" w:rsidRDefault="00000000">
      <w:pPr>
        <w:spacing w:after="140" w:line="276" w:lineRule="auto"/>
      </w:pPr>
      <w:r>
        <w:t>Aus „keine KI-VO-Pflicht“ folgt nicht „keine Kennzeichnung nötig“. Mehrere andere Regelungsbereiche können unabhängig greifen:</w:t>
      </w:r>
    </w:p>
    <w:p w14:paraId="63F66340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Urheberrecht: </w:t>
      </w:r>
      <w:r>
        <w:t>KI-Ausgaben können fremde geschützte Werke berühren; Quellen-/Rechteklärung bleibt eigenständig zu prüfen.</w:t>
      </w:r>
    </w:p>
    <w:p w14:paraId="7E4A7978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Persönlichkeits- und </w:t>
      </w:r>
      <w:proofErr w:type="spellStart"/>
      <w:r>
        <w:rPr>
          <w:b/>
          <w:bCs/>
        </w:rPr>
        <w:t>Bildnisrecht</w:t>
      </w:r>
      <w:proofErr w:type="spellEnd"/>
      <w:r>
        <w:rPr>
          <w:b/>
          <w:bCs/>
        </w:rPr>
        <w:t xml:space="preserve">: </w:t>
      </w:r>
      <w:r>
        <w:t>Gerade bei realistischen Personenbildern (Deepfakes) bestehen Rechte der Abgebildeten unabhängig von der KI-VO.</w:t>
      </w:r>
    </w:p>
    <w:p w14:paraId="0A22EE07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Datenschutz (DSGVO): </w:t>
      </w:r>
      <w:r>
        <w:t>Verarbeitung personenbezogener Daten in KI-Tools – eigener Pflichtenkreis.</w:t>
      </w:r>
    </w:p>
    <w:p w14:paraId="791238B7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Prüfungs- und Bewertungsrecht / Eigenständigkeitserklärung: </w:t>
      </w:r>
      <w:r>
        <w:t>Regelt die Offenlegung von KI-Nutzung in Leistungsnachweisen – schulrechtlich, nicht KI-VO.</w:t>
      </w:r>
    </w:p>
    <w:p w14:paraId="4B16AAD5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KI-Kompetenz (Art. 4 KI-VO): </w:t>
      </w:r>
      <w:r>
        <w:t>Bereits seit Februar 2025 in Kraft; verpflichtet Betreiber, ein hinreichendes KI-Kompetenzniveau der mit den Systemen befassten Personen sicherzustellen. Für Schulen ein eigenständiger, paralleler Auftrag.</w:t>
      </w:r>
      <w:r>
        <w:rPr>
          <w:rStyle w:val="Funotenzeichen"/>
        </w:rPr>
        <w:footnoteReference w:id="11"/>
      </w:r>
    </w:p>
    <w:tbl>
      <w:tblPr>
        <w:tblW w:w="10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5"/>
      </w:tblGrid>
      <w:tr w:rsidR="00F4738D" w14:paraId="523988D8" w14:textId="77777777" w:rsidTr="00D51A6B">
        <w:tblPrEx>
          <w:tblCellMar>
            <w:top w:w="0" w:type="dxa"/>
            <w:bottom w:w="0" w:type="dxa"/>
          </w:tblCellMar>
        </w:tblPrEx>
        <w:tc>
          <w:tcPr>
            <w:tcW w:w="10325" w:type="dxa"/>
            <w:tcBorders>
              <w:top w:val="single" w:sz="2" w:space="0" w:color="BF8700"/>
              <w:left w:val="single" w:sz="18" w:space="0" w:color="BF8700"/>
              <w:bottom w:val="single" w:sz="2" w:space="0" w:color="BF8700"/>
              <w:right w:val="single" w:sz="2" w:space="0" w:color="BF8700"/>
            </w:tcBorders>
            <w:shd w:val="clear" w:color="auto" w:fill="FBF1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FA48C04" w14:textId="77777777" w:rsidR="00F4738D" w:rsidRDefault="00000000">
            <w:pPr>
              <w:spacing w:after="80"/>
            </w:pPr>
            <w:r>
              <w:rPr>
                <w:b/>
                <w:bCs/>
                <w:color w:val="8A6100"/>
                <w:sz w:val="21"/>
                <w:szCs w:val="21"/>
              </w:rPr>
              <w:t>Sanktionsrahmen – zur Einordnung, nicht zur Beunruhigung</w:t>
            </w:r>
          </w:p>
          <w:p w14:paraId="269C38BE" w14:textId="77777777" w:rsidR="00F4738D" w:rsidRDefault="00000000">
            <w:pPr>
              <w:spacing w:after="140" w:line="276" w:lineRule="auto"/>
            </w:pPr>
            <w:r>
              <w:t>Verstöße gegen Transparenzpflichten können nach Art. 99 KI-VO mit bis zu 15 Mio. € oder 3 % des weltweiten Jahresumsatzes geahndet werden.</w:t>
            </w:r>
            <w:r>
              <w:rPr>
                <w:rStyle w:val="Funotenzeichen"/>
              </w:rPr>
              <w:footnoteReference w:id="12"/>
            </w:r>
            <w:r>
              <w:t xml:space="preserve"> Für einzelne Lehrkräfte ist das praktisch theoretisch; relevant ist es als Maßstab für Schulträger und Plattformen. Für KMU/Kleinstunternehmen sind im Entwurf des „Digital Omnibus“ Ermäßigungen vorgesehen.</w:t>
            </w:r>
          </w:p>
        </w:tc>
      </w:tr>
    </w:tbl>
    <w:p w14:paraId="0443ACAD" w14:textId="77777777" w:rsidR="00F4738D" w:rsidRDefault="00000000">
      <w:pPr>
        <w:pStyle w:val="berschrift1"/>
      </w:pPr>
      <w:r>
        <w:t>8 Handlungsempfehlungen für Schule und Plattform</w:t>
      </w:r>
    </w:p>
    <w:p w14:paraId="33441309" w14:textId="77777777" w:rsidR="00F4738D" w:rsidRDefault="00000000">
      <w:pPr>
        <w:pStyle w:val="Listenabsatz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Modalität zuerst prüfen. </w:t>
      </w:r>
      <w:r>
        <w:t>Bei jedem Material zuerst fragen: Text, Medieninhalt oder bloße Grafik? Das entscheidet über den Pfad.</w:t>
      </w:r>
    </w:p>
    <w:p w14:paraId="559AFDDC" w14:textId="77777777" w:rsidR="00F4738D" w:rsidRDefault="00000000">
      <w:pPr>
        <w:pStyle w:val="Listenabsatz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Bei realistischen Personenbildern im Zweifel kennzeichnen. </w:t>
      </w:r>
      <w:r>
        <w:t>Der Deepfake-Pfad ist der praktisch häufigste Auslöser und kennt keine Redaktions-Rettung.</w:t>
      </w:r>
    </w:p>
    <w:p w14:paraId="3609C69A" w14:textId="77777777" w:rsidR="00F4738D" w:rsidRDefault="00000000">
      <w:pPr>
        <w:pStyle w:val="Listenabsatz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Veröffentlichte </w:t>
      </w:r>
      <w:proofErr w:type="spellStart"/>
      <w:r>
        <w:rPr>
          <w:b/>
          <w:bCs/>
        </w:rPr>
        <w:t>Erklärinhalte</w:t>
      </w:r>
      <w:proofErr w:type="spellEnd"/>
      <w:r>
        <w:rPr>
          <w:b/>
          <w:bCs/>
        </w:rPr>
        <w:t xml:space="preserve"> zu Public-Interest-Themen mit einem dokumentierten Mini-Redaktionsprozess absichern. </w:t>
      </w:r>
      <w:r>
        <w:t>Benannte Person + substanzielle Prüfung + kurzer Vermerk – dann greift die Ausnahme verlässlich.</w:t>
      </w:r>
    </w:p>
    <w:p w14:paraId="3014C814" w14:textId="77777777" w:rsidR="00F4738D" w:rsidRDefault="00000000">
      <w:pPr>
        <w:pStyle w:val="Listenabsatz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Eine einfache, einheitliche Offenlegungsformel etablieren, </w:t>
      </w:r>
      <w:r>
        <w:t>z. B. als gut sichtbaren Hinweis „Erstellt mit KI“ / „Mit KI verändert“, optional ergänzt um das freiwillige EU-Icon.</w:t>
      </w:r>
    </w:p>
    <w:p w14:paraId="284C81B5" w14:textId="77777777" w:rsidR="00F4738D" w:rsidRDefault="00000000">
      <w:pPr>
        <w:pStyle w:val="Listenabsatz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KI-Nutzung in Schülerarbeiten über die Eigenständigkeitserklärung regeln – </w:t>
      </w:r>
      <w:r>
        <w:t>klar getrennt von der KI-VO, als Frage der Redlichkeit.</w:t>
      </w:r>
    </w:p>
    <w:p w14:paraId="1A18B973" w14:textId="77777777" w:rsidR="00F4738D" w:rsidRDefault="00000000">
      <w:pPr>
        <w:pStyle w:val="Listenabsatz"/>
        <w:numPr>
          <w:ilvl w:val="0"/>
          <w:numId w:val="3"/>
        </w:numPr>
        <w:spacing w:after="60" w:line="268" w:lineRule="auto"/>
      </w:pPr>
      <w:r>
        <w:rPr>
          <w:b/>
          <w:bCs/>
        </w:rPr>
        <w:t xml:space="preserve">Art. 4 (KI-Kompetenz) als eigenen Punkt mitdenken. </w:t>
      </w:r>
      <w:r>
        <w:t>Er gilt bereits und ist von der Kennzeichnung unabhängig.</w:t>
      </w:r>
    </w:p>
    <w:tbl>
      <w:tblPr>
        <w:tblW w:w="10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3"/>
      </w:tblGrid>
      <w:tr w:rsidR="00F4738D" w14:paraId="33DE951E" w14:textId="77777777" w:rsidTr="00D51A6B">
        <w:tblPrEx>
          <w:tblCellMar>
            <w:top w:w="0" w:type="dxa"/>
            <w:bottom w:w="0" w:type="dxa"/>
          </w:tblCellMar>
        </w:tblPrEx>
        <w:tc>
          <w:tcPr>
            <w:tcW w:w="10183" w:type="dxa"/>
            <w:tcBorders>
              <w:top w:val="single" w:sz="2" w:space="0" w:color="AAAAAA"/>
              <w:left w:val="single" w:sz="18" w:space="0" w:color="AAAAAA"/>
              <w:bottom w:val="single" w:sz="2" w:space="0" w:color="AAAAAA"/>
              <w:right w:val="single" w:sz="2" w:space="0" w:color="AAAAAA"/>
            </w:tcBorders>
            <w:shd w:val="clear" w:color="auto" w:fill="F3F3F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18F2933" w14:textId="77777777" w:rsidR="00F4738D" w:rsidRDefault="00000000">
            <w:pPr>
              <w:spacing w:after="80"/>
            </w:pPr>
            <w:r>
              <w:rPr>
                <w:b/>
                <w:bCs/>
                <w:color w:val="555555"/>
                <w:sz w:val="21"/>
                <w:szCs w:val="21"/>
              </w:rPr>
              <w:t>Beispiel-Offenlegungsformel (Prompt-/Textbaustein)</w:t>
            </w:r>
          </w:p>
          <w:p w14:paraId="2C2C5AC0" w14:textId="77777777" w:rsidR="00F4738D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Hinweis: Dieses Material wurde mit Unterstützung generativer KI</w:t>
            </w:r>
          </w:p>
          <w:p w14:paraId="3CA24DB1" w14:textId="77777777" w:rsidR="00F4738D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erstellt und vor der Verwendung inhaltlich geprüft.</w:t>
            </w:r>
          </w:p>
          <w:p w14:paraId="398B6641" w14:textId="77777777" w:rsidR="00F4738D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Redaktionelle Verantwortung: [Name, Funktion].</w:t>
            </w:r>
          </w:p>
        </w:tc>
      </w:tr>
    </w:tbl>
    <w:p w14:paraId="7D0B8101" w14:textId="77777777" w:rsidR="00F4738D" w:rsidRDefault="00000000">
      <w:pPr>
        <w:pStyle w:val="berschrift1"/>
      </w:pPr>
      <w:r>
        <w:t>9 Quellen und Haftungshinweis</w:t>
      </w:r>
    </w:p>
    <w:p w14:paraId="3D60ECCA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t xml:space="preserve">Verordnung (EU) 2024/1689 (KI-VO), Art. 50 und Art. 3, deutsche Amtsfassung auf EUR-Lex; </w:t>
      </w:r>
      <w:proofErr w:type="spellStart"/>
      <w:r>
        <w:t>ErwG</w:t>
      </w:r>
      <w:proofErr w:type="spellEnd"/>
      <w:r>
        <w:t xml:space="preserve"> 132–135.</w:t>
      </w:r>
    </w:p>
    <w:p w14:paraId="4A68CABD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lastRenderedPageBreak/>
        <w:t xml:space="preserve">Europäische Kommission: EU-Icons zur Kennzeichnung KI-generierter Inhalte sowie Code </w:t>
      </w:r>
      <w:proofErr w:type="spellStart"/>
      <w:r>
        <w:t>of</w:t>
      </w:r>
      <w:proofErr w:type="spellEnd"/>
      <w:r>
        <w:t xml:space="preserve"> Practice on Transparency </w:t>
      </w:r>
      <w:proofErr w:type="spellStart"/>
      <w:r>
        <w:t>of</w:t>
      </w:r>
      <w:proofErr w:type="spellEnd"/>
      <w:r>
        <w:t xml:space="preserve"> AI-</w:t>
      </w:r>
      <w:proofErr w:type="spellStart"/>
      <w:r>
        <w:t>Generated</w:t>
      </w:r>
      <w:proofErr w:type="spellEnd"/>
      <w:r>
        <w:t xml:space="preserve"> Content.</w:t>
      </w:r>
      <w:r>
        <w:rPr>
          <w:rStyle w:val="Funotenzeichen"/>
        </w:rPr>
        <w:footnoteReference w:id="13"/>
      </w:r>
    </w:p>
    <w:p w14:paraId="313687D5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r>
        <w:t>Europäische Kommission: Entwurf der Leitlinien zu den Transparenzpflichten nach Art. 50 (8. Mai 2026, Konsultation bis 3. Juni 2026).</w:t>
      </w:r>
    </w:p>
    <w:p w14:paraId="1405C1AF" w14:textId="77777777" w:rsidR="00F4738D" w:rsidRDefault="00000000">
      <w:pPr>
        <w:pStyle w:val="Listenabsatz"/>
        <w:numPr>
          <w:ilvl w:val="0"/>
          <w:numId w:val="2"/>
        </w:numPr>
        <w:spacing w:after="60" w:line="268" w:lineRule="auto"/>
      </w:pPr>
      <w:hyperlink r:id="rId7" w:history="1">
        <w:r>
          <w:rPr>
            <w:rStyle w:val="Hyperlink"/>
            <w:sz w:val="20"/>
            <w:szCs w:val="20"/>
          </w:rPr>
          <w:t xml:space="preserve">digital-strategy.ec.europa.eu – </w:t>
        </w:r>
        <w:proofErr w:type="gramStart"/>
        <w:r>
          <w:rPr>
            <w:rStyle w:val="Hyperlink"/>
            <w:sz w:val="20"/>
            <w:szCs w:val="20"/>
          </w:rPr>
          <w:t>EU Icons</w:t>
        </w:r>
        <w:proofErr w:type="gramEnd"/>
        <w:r>
          <w:rPr>
            <w:rStyle w:val="Hyperlink"/>
            <w:sz w:val="20"/>
            <w:szCs w:val="20"/>
          </w:rPr>
          <w:t xml:space="preserve"> </w:t>
        </w:r>
        <w:proofErr w:type="spellStart"/>
        <w:r>
          <w:rPr>
            <w:rStyle w:val="Hyperlink"/>
            <w:sz w:val="20"/>
            <w:szCs w:val="20"/>
          </w:rPr>
          <w:t>for</w:t>
        </w:r>
        <w:proofErr w:type="spellEnd"/>
        <w:r>
          <w:rPr>
            <w:rStyle w:val="Hyperlink"/>
            <w:sz w:val="20"/>
            <w:szCs w:val="20"/>
          </w:rPr>
          <w:t xml:space="preserve"> </w:t>
        </w:r>
        <w:proofErr w:type="spellStart"/>
        <w:r>
          <w:rPr>
            <w:rStyle w:val="Hyperlink"/>
            <w:sz w:val="20"/>
            <w:szCs w:val="20"/>
          </w:rPr>
          <w:t>labelling</w:t>
        </w:r>
        <w:proofErr w:type="spellEnd"/>
        <w:r>
          <w:rPr>
            <w:rStyle w:val="Hyperlink"/>
            <w:sz w:val="20"/>
            <w:szCs w:val="20"/>
          </w:rPr>
          <w:t xml:space="preserve"> AI-</w:t>
        </w:r>
        <w:proofErr w:type="spellStart"/>
        <w:r>
          <w:rPr>
            <w:rStyle w:val="Hyperlink"/>
            <w:sz w:val="20"/>
            <w:szCs w:val="20"/>
          </w:rPr>
          <w:t>generated</w:t>
        </w:r>
        <w:proofErr w:type="spellEnd"/>
        <w:r>
          <w:rPr>
            <w:rStyle w:val="Hyperlink"/>
            <w:sz w:val="20"/>
            <w:szCs w:val="20"/>
          </w:rPr>
          <w:t xml:space="preserve"> </w:t>
        </w:r>
        <w:proofErr w:type="spellStart"/>
        <w:r>
          <w:rPr>
            <w:rStyle w:val="Hyperlink"/>
            <w:sz w:val="20"/>
            <w:szCs w:val="20"/>
          </w:rPr>
          <w:t>content</w:t>
        </w:r>
        <w:proofErr w:type="spellEnd"/>
      </w:hyperlink>
    </w:p>
    <w:p w14:paraId="3BE41F1B" w14:textId="77777777" w:rsidR="00F4738D" w:rsidRDefault="00F4738D">
      <w:pPr>
        <w:spacing w:after="80"/>
      </w:pPr>
    </w:p>
    <w:tbl>
      <w:tblPr>
        <w:tblW w:w="10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3"/>
      </w:tblGrid>
      <w:tr w:rsidR="00F4738D" w14:paraId="2CF69ED5" w14:textId="77777777" w:rsidTr="00D51A6B">
        <w:tblPrEx>
          <w:tblCellMar>
            <w:top w:w="0" w:type="dxa"/>
            <w:bottom w:w="0" w:type="dxa"/>
          </w:tblCellMar>
        </w:tblPrEx>
        <w:tc>
          <w:tcPr>
            <w:tcW w:w="10183" w:type="dxa"/>
            <w:tcBorders>
              <w:top w:val="single" w:sz="2" w:space="0" w:color="BF8700"/>
              <w:left w:val="single" w:sz="18" w:space="0" w:color="BF8700"/>
              <w:bottom w:val="single" w:sz="2" w:space="0" w:color="BF8700"/>
              <w:right w:val="single" w:sz="2" w:space="0" w:color="BF8700"/>
            </w:tcBorders>
            <w:shd w:val="clear" w:color="auto" w:fill="FBF1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98A220E" w14:textId="77777777" w:rsidR="00F4738D" w:rsidRDefault="00000000">
            <w:pPr>
              <w:spacing w:after="80"/>
            </w:pPr>
            <w:r>
              <w:rPr>
                <w:b/>
                <w:bCs/>
                <w:color w:val="8A6100"/>
                <w:sz w:val="21"/>
                <w:szCs w:val="21"/>
              </w:rPr>
              <w:t>Haftungshinweis</w:t>
            </w:r>
          </w:p>
          <w:p w14:paraId="0349455C" w14:textId="77777777" w:rsidR="00F4738D" w:rsidRDefault="00000000">
            <w:pPr>
              <w:spacing w:after="140" w:line="276" w:lineRule="auto"/>
            </w:pPr>
            <w:r>
              <w:t xml:space="preserve">Diese Handreichung ist eine didaktische Orientierungshilfe, </w:t>
            </w:r>
            <w:r>
              <w:rPr>
                <w:b/>
                <w:bCs/>
              </w:rPr>
              <w:t>kein Rechtsrat</w:t>
            </w:r>
            <w:r>
              <w:t>. Die Auslegung von „öffentlichem Interesse“, „Deepfake“ und „redaktioneller Kontrolle“ beruht teilweise auf noch nicht final verabschiedeten Leitlinien und kann sich ändern. Maßgeblich ist die amtliche deutsche Fassung der KI-VO; im Zweifel sind der AI-Act-Service-Desk der Kommission bzw. juristische Beratung heranzuziehen.</w:t>
            </w:r>
          </w:p>
        </w:tc>
      </w:tr>
    </w:tbl>
    <w:p w14:paraId="0C382501" w14:textId="77777777" w:rsidR="007E1417" w:rsidRDefault="007E1417"/>
    <w:sectPr w:rsidR="007E1417" w:rsidSect="00D51A6B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0AFE4" w14:textId="77777777" w:rsidR="007E1417" w:rsidRDefault="007E1417">
      <w:r>
        <w:separator/>
      </w:r>
    </w:p>
  </w:endnote>
  <w:endnote w:type="continuationSeparator" w:id="0">
    <w:p w14:paraId="35AE901A" w14:textId="77777777" w:rsidR="007E1417" w:rsidRDefault="007E1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88526" w14:textId="77777777" w:rsidR="00F4738D" w:rsidRDefault="00000000">
    <w:pPr>
      <w:pBdr>
        <w:top w:val="single" w:sz="3" w:space="4" w:color="D6E4F5"/>
      </w:pBdr>
      <w:tabs>
        <w:tab w:val="right" w:pos="9026"/>
      </w:tabs>
    </w:pPr>
    <w:r>
      <w:rPr>
        <w:color w:val="555555"/>
        <w:sz w:val="16"/>
        <w:szCs w:val="16"/>
      </w:rPr>
      <w:t>Orientierungshilfe – kein Rechtsrat · Stand Juni 2026</w:t>
    </w:r>
    <w:r>
      <w:rPr>
        <w:color w:val="555555"/>
        <w:sz w:val="16"/>
        <w:szCs w:val="16"/>
      </w:rPr>
      <w:tab/>
      <w:t xml:space="preserve">Seite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D51A6B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von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D51A6B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5896C" w14:textId="77777777" w:rsidR="007E1417" w:rsidRDefault="007E1417">
      <w:r>
        <w:separator/>
      </w:r>
    </w:p>
  </w:footnote>
  <w:footnote w:type="continuationSeparator" w:id="0">
    <w:p w14:paraId="74D90863" w14:textId="77777777" w:rsidR="007E1417" w:rsidRDefault="007E1417">
      <w:r>
        <w:continuationSeparator/>
      </w:r>
    </w:p>
  </w:footnote>
  <w:footnote w:id="1">
    <w:p w14:paraId="1EDCBF4F" w14:textId="77777777" w:rsidR="00F4738D" w:rsidRDefault="00000000">
      <w:r>
        <w:rPr>
          <w:rStyle w:val="Funotenzeichen"/>
        </w:rPr>
        <w:footnoteRef/>
      </w:r>
      <w:r>
        <w:rPr>
          <w:sz w:val="18"/>
          <w:szCs w:val="18"/>
        </w:rPr>
        <w:t xml:space="preserve">Kommissions-Leitlinien zu Art. 50 (Entwurf, 8.5.2026) und Code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Practice on Transparency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AI-</w:t>
      </w:r>
      <w:proofErr w:type="spellStart"/>
      <w:r>
        <w:rPr>
          <w:sz w:val="18"/>
          <w:szCs w:val="18"/>
        </w:rPr>
        <w:t>Generated</w:t>
      </w:r>
      <w:proofErr w:type="spellEnd"/>
      <w:r>
        <w:rPr>
          <w:sz w:val="18"/>
          <w:szCs w:val="18"/>
        </w:rPr>
        <w:t xml:space="preserve"> Content; beides Auslegungshilfen, nicht bindendes Recht.</w:t>
      </w:r>
    </w:p>
  </w:footnote>
  <w:footnote w:id="2">
    <w:p w14:paraId="15A3FA71" w14:textId="77777777" w:rsidR="00F4738D" w:rsidRDefault="00000000">
      <w:r>
        <w:rPr>
          <w:rStyle w:val="Funotenzeichen"/>
        </w:rPr>
        <w:footnoteRef/>
      </w:r>
      <w:r>
        <w:rPr>
          <w:sz w:val="18"/>
          <w:szCs w:val="18"/>
        </w:rPr>
        <w:t>Art. 50 Abs. 1 KI-VO – Offenlegung der Interaktion mit einem KI-System.</w:t>
      </w:r>
    </w:p>
  </w:footnote>
  <w:footnote w:id="3">
    <w:p w14:paraId="4ECB7221" w14:textId="77777777" w:rsidR="00F4738D" w:rsidRDefault="00000000">
      <w:r>
        <w:rPr>
          <w:rStyle w:val="Funotenzeichen"/>
        </w:rPr>
        <w:footnoteRef/>
      </w:r>
      <w:r>
        <w:rPr>
          <w:sz w:val="18"/>
          <w:szCs w:val="18"/>
        </w:rPr>
        <w:t xml:space="preserve">Art. 50 Abs. 2 KI-VO </w:t>
      </w:r>
      <w:proofErr w:type="spellStart"/>
      <w:r>
        <w:rPr>
          <w:sz w:val="18"/>
          <w:szCs w:val="18"/>
        </w:rPr>
        <w:t>i.V.m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ErwG</w:t>
      </w:r>
      <w:proofErr w:type="spellEnd"/>
      <w:r>
        <w:rPr>
          <w:sz w:val="18"/>
          <w:szCs w:val="18"/>
        </w:rPr>
        <w:t xml:space="preserve"> 133 (maschinenlesbare Markierung als Anbieterpflicht: Wasserzeichen, Metadaten, kryptografische Provenienz).</w:t>
      </w:r>
    </w:p>
  </w:footnote>
  <w:footnote w:id="4">
    <w:p w14:paraId="6DE634DA" w14:textId="77777777" w:rsidR="00F4738D" w:rsidRDefault="00000000">
      <w:r>
        <w:rPr>
          <w:rStyle w:val="Funotenzeichen"/>
        </w:rPr>
        <w:footnoteRef/>
      </w:r>
      <w:r>
        <w:rPr>
          <w:sz w:val="18"/>
          <w:szCs w:val="18"/>
        </w:rPr>
        <w:t>Art. 50 Abs. 4 KI-VO; Betreiberbegriff Art. 3 Nr. 4, Anbieterbegriff Art. 3 Nr. 3 KI-VO.</w:t>
      </w:r>
    </w:p>
  </w:footnote>
  <w:footnote w:id="5">
    <w:p w14:paraId="3386795F" w14:textId="77777777" w:rsidR="00D51A6B" w:rsidRDefault="00D51A6B"/>
    <w:p w14:paraId="48EAF3D3" w14:textId="77777777" w:rsidR="00000000" w:rsidRDefault="00000000"/>
  </w:footnote>
  <w:footnote w:id="6">
    <w:p w14:paraId="7898B5F9" w14:textId="77777777" w:rsidR="00D51A6B" w:rsidRDefault="00D51A6B"/>
    <w:p w14:paraId="158A06DF" w14:textId="77777777" w:rsidR="00000000" w:rsidRDefault="00000000"/>
  </w:footnote>
  <w:footnote w:id="7">
    <w:p w14:paraId="6B3664C3" w14:textId="77777777" w:rsidR="00D51A6B" w:rsidRDefault="00D51A6B"/>
    <w:p w14:paraId="20C47F2F" w14:textId="77777777" w:rsidR="00000000" w:rsidRDefault="00000000"/>
  </w:footnote>
  <w:footnote w:id="8">
    <w:p w14:paraId="2D4FE8BF" w14:textId="77777777" w:rsidR="00F4738D" w:rsidRDefault="00000000">
      <w:r>
        <w:rPr>
          <w:rStyle w:val="Funotenzeichen"/>
        </w:rPr>
        <w:footnoteRef/>
      </w:r>
      <w:r>
        <w:rPr>
          <w:sz w:val="18"/>
          <w:szCs w:val="18"/>
        </w:rPr>
        <w:t>Art. 3 Nr. 60 KI-VO – Legaldefinition „Deepfake“.</w:t>
      </w:r>
    </w:p>
  </w:footnote>
  <w:footnote w:id="9">
    <w:p w14:paraId="6DA0A37A" w14:textId="77777777" w:rsidR="00D51A6B" w:rsidRDefault="00D51A6B"/>
    <w:p w14:paraId="46AC7316" w14:textId="77777777" w:rsidR="00000000" w:rsidRDefault="00000000"/>
  </w:footnote>
  <w:footnote w:id="10">
    <w:p w14:paraId="60C7DEE5" w14:textId="77777777" w:rsidR="00D51A6B" w:rsidRDefault="00D51A6B"/>
    <w:p w14:paraId="6EBED11A" w14:textId="77777777" w:rsidR="00000000" w:rsidRDefault="00000000"/>
  </w:footnote>
  <w:footnote w:id="11">
    <w:p w14:paraId="2968D173" w14:textId="77777777" w:rsidR="00F4738D" w:rsidRDefault="00000000">
      <w:r>
        <w:rPr>
          <w:rStyle w:val="Funotenzeichen"/>
        </w:rPr>
        <w:footnoteRef/>
      </w:r>
      <w:r>
        <w:rPr>
          <w:sz w:val="18"/>
          <w:szCs w:val="18"/>
        </w:rPr>
        <w:t>Art. 4 KI-VO – KI-Kompetenz; anwendbar seit Februar 2025, unabhängig von der Kennzeichnung.</w:t>
      </w:r>
    </w:p>
  </w:footnote>
  <w:footnote w:id="12">
    <w:p w14:paraId="3537FE1F" w14:textId="77777777" w:rsidR="00F4738D" w:rsidRDefault="00000000">
      <w:r>
        <w:rPr>
          <w:rStyle w:val="Funotenzeichen"/>
        </w:rPr>
        <w:footnoteRef/>
      </w:r>
      <w:r>
        <w:rPr>
          <w:sz w:val="18"/>
          <w:szCs w:val="18"/>
        </w:rPr>
        <w:t>Art. 99 KI-VO – Sanktionen.</w:t>
      </w:r>
    </w:p>
  </w:footnote>
  <w:footnote w:id="13">
    <w:p w14:paraId="401CC0D5" w14:textId="77777777" w:rsidR="00F4738D" w:rsidRDefault="00000000">
      <w:r>
        <w:rPr>
          <w:rStyle w:val="Funotenzeichen"/>
        </w:rPr>
        <w:footnoteRef/>
      </w:r>
      <w:r>
        <w:rPr>
          <w:sz w:val="18"/>
          <w:szCs w:val="18"/>
        </w:rPr>
        <w:t>EU-Icons sind freiwillig; ihre Verwendung begründet für sich genommen keine Konformität (vgl. Kommissionsseite, Stand Juni 2026).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4158" w14:textId="77777777" w:rsidR="00F4738D" w:rsidRDefault="00000000">
    <w:pPr>
      <w:pBdr>
        <w:bottom w:val="single" w:sz="3" w:space="4" w:color="D6E4F5"/>
      </w:pBdr>
      <w:tabs>
        <w:tab w:val="right" w:pos="9026"/>
      </w:tabs>
    </w:pPr>
    <w:r>
      <w:rPr>
        <w:color w:val="555555"/>
        <w:sz w:val="16"/>
        <w:szCs w:val="16"/>
      </w:rPr>
      <w:t>KI-VO Art. 50 – Kennzeichnung KI-generierter Lehrmaterialien</w:t>
    </w:r>
    <w:r>
      <w:rPr>
        <w:color w:val="555555"/>
        <w:sz w:val="16"/>
        <w:szCs w:val="16"/>
      </w:rPr>
      <w:tab/>
      <w:t>iludis.de / LFB KI BW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574A7"/>
    <w:multiLevelType w:val="hybridMultilevel"/>
    <w:tmpl w:val="D5885762"/>
    <w:lvl w:ilvl="0" w:tplc="B1BE4A96">
      <w:start w:val="1"/>
      <w:numFmt w:val="bullet"/>
      <w:lvlText w:val="•"/>
      <w:lvlJc w:val="left"/>
      <w:pPr>
        <w:ind w:left="460" w:hanging="260"/>
      </w:pPr>
      <w:rPr>
        <w:color w:val="0969DA"/>
      </w:rPr>
    </w:lvl>
    <w:lvl w:ilvl="1" w:tplc="F46A256E">
      <w:start w:val="1"/>
      <w:numFmt w:val="bullet"/>
      <w:lvlText w:val="–"/>
      <w:lvlJc w:val="left"/>
      <w:pPr>
        <w:ind w:left="880" w:hanging="260"/>
      </w:pPr>
    </w:lvl>
    <w:lvl w:ilvl="2" w:tplc="3B6CE854">
      <w:numFmt w:val="decimal"/>
      <w:lvlText w:val=""/>
      <w:lvlJc w:val="left"/>
    </w:lvl>
    <w:lvl w:ilvl="3" w:tplc="886E583E">
      <w:numFmt w:val="decimal"/>
      <w:lvlText w:val=""/>
      <w:lvlJc w:val="left"/>
    </w:lvl>
    <w:lvl w:ilvl="4" w:tplc="B6BE2E74">
      <w:numFmt w:val="decimal"/>
      <w:lvlText w:val=""/>
      <w:lvlJc w:val="left"/>
    </w:lvl>
    <w:lvl w:ilvl="5" w:tplc="94060DCE">
      <w:numFmt w:val="decimal"/>
      <w:lvlText w:val=""/>
      <w:lvlJc w:val="left"/>
    </w:lvl>
    <w:lvl w:ilvl="6" w:tplc="FDC41100">
      <w:numFmt w:val="decimal"/>
      <w:lvlText w:val=""/>
      <w:lvlJc w:val="left"/>
    </w:lvl>
    <w:lvl w:ilvl="7" w:tplc="6E309EB8">
      <w:numFmt w:val="decimal"/>
      <w:lvlText w:val=""/>
      <w:lvlJc w:val="left"/>
    </w:lvl>
    <w:lvl w:ilvl="8" w:tplc="78885DCE">
      <w:numFmt w:val="decimal"/>
      <w:lvlText w:val=""/>
      <w:lvlJc w:val="left"/>
    </w:lvl>
  </w:abstractNum>
  <w:abstractNum w:abstractNumId="1" w15:restartNumberingAfterBreak="0">
    <w:nsid w:val="4A16629B"/>
    <w:multiLevelType w:val="hybridMultilevel"/>
    <w:tmpl w:val="A50C515C"/>
    <w:lvl w:ilvl="0" w:tplc="A0929D1C">
      <w:start w:val="1"/>
      <w:numFmt w:val="bullet"/>
      <w:lvlText w:val="●"/>
      <w:lvlJc w:val="left"/>
      <w:pPr>
        <w:ind w:left="720" w:hanging="360"/>
      </w:pPr>
    </w:lvl>
    <w:lvl w:ilvl="1" w:tplc="E36EADB2">
      <w:start w:val="1"/>
      <w:numFmt w:val="bullet"/>
      <w:lvlText w:val="○"/>
      <w:lvlJc w:val="left"/>
      <w:pPr>
        <w:ind w:left="1440" w:hanging="360"/>
      </w:pPr>
    </w:lvl>
    <w:lvl w:ilvl="2" w:tplc="FFB21E42">
      <w:start w:val="1"/>
      <w:numFmt w:val="bullet"/>
      <w:lvlText w:val="■"/>
      <w:lvlJc w:val="left"/>
      <w:pPr>
        <w:ind w:left="2160" w:hanging="360"/>
      </w:pPr>
    </w:lvl>
    <w:lvl w:ilvl="3" w:tplc="3230B0E2">
      <w:start w:val="1"/>
      <w:numFmt w:val="bullet"/>
      <w:lvlText w:val="●"/>
      <w:lvlJc w:val="left"/>
      <w:pPr>
        <w:ind w:left="2880" w:hanging="360"/>
      </w:pPr>
    </w:lvl>
    <w:lvl w:ilvl="4" w:tplc="473C2812">
      <w:start w:val="1"/>
      <w:numFmt w:val="bullet"/>
      <w:lvlText w:val="○"/>
      <w:lvlJc w:val="left"/>
      <w:pPr>
        <w:ind w:left="3600" w:hanging="360"/>
      </w:pPr>
    </w:lvl>
    <w:lvl w:ilvl="5" w:tplc="B5700846">
      <w:start w:val="1"/>
      <w:numFmt w:val="bullet"/>
      <w:lvlText w:val="■"/>
      <w:lvlJc w:val="left"/>
      <w:pPr>
        <w:ind w:left="4320" w:hanging="360"/>
      </w:pPr>
    </w:lvl>
    <w:lvl w:ilvl="6" w:tplc="DE1424BA">
      <w:start w:val="1"/>
      <w:numFmt w:val="bullet"/>
      <w:lvlText w:val="●"/>
      <w:lvlJc w:val="left"/>
      <w:pPr>
        <w:ind w:left="5040" w:hanging="360"/>
      </w:pPr>
    </w:lvl>
    <w:lvl w:ilvl="7" w:tplc="5E2E7754">
      <w:start w:val="1"/>
      <w:numFmt w:val="bullet"/>
      <w:lvlText w:val="●"/>
      <w:lvlJc w:val="left"/>
      <w:pPr>
        <w:ind w:left="5760" w:hanging="360"/>
      </w:pPr>
    </w:lvl>
    <w:lvl w:ilvl="8" w:tplc="2BD294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087D1B"/>
    <w:multiLevelType w:val="hybridMultilevel"/>
    <w:tmpl w:val="A844D74E"/>
    <w:lvl w:ilvl="0" w:tplc="66682116">
      <w:start w:val="1"/>
      <w:numFmt w:val="decimal"/>
      <w:lvlText w:val="%1."/>
      <w:lvlJc w:val="left"/>
      <w:pPr>
        <w:ind w:left="460" w:hanging="280"/>
      </w:pPr>
      <w:rPr>
        <w:b/>
        <w:bCs/>
        <w:color w:val="0969DA"/>
      </w:rPr>
    </w:lvl>
    <w:lvl w:ilvl="1" w:tplc="9BB877A6">
      <w:numFmt w:val="decimal"/>
      <w:lvlText w:val=""/>
      <w:lvlJc w:val="left"/>
    </w:lvl>
    <w:lvl w:ilvl="2" w:tplc="A10A8954">
      <w:numFmt w:val="decimal"/>
      <w:lvlText w:val=""/>
      <w:lvlJc w:val="left"/>
    </w:lvl>
    <w:lvl w:ilvl="3" w:tplc="DBFE4908">
      <w:numFmt w:val="decimal"/>
      <w:lvlText w:val=""/>
      <w:lvlJc w:val="left"/>
    </w:lvl>
    <w:lvl w:ilvl="4" w:tplc="20B08988">
      <w:numFmt w:val="decimal"/>
      <w:lvlText w:val=""/>
      <w:lvlJc w:val="left"/>
    </w:lvl>
    <w:lvl w:ilvl="5" w:tplc="A59C04EE">
      <w:numFmt w:val="decimal"/>
      <w:lvlText w:val=""/>
      <w:lvlJc w:val="left"/>
    </w:lvl>
    <w:lvl w:ilvl="6" w:tplc="60C61024">
      <w:numFmt w:val="decimal"/>
      <w:lvlText w:val=""/>
      <w:lvlJc w:val="left"/>
    </w:lvl>
    <w:lvl w:ilvl="7" w:tplc="87F2F2AA">
      <w:numFmt w:val="decimal"/>
      <w:lvlText w:val=""/>
      <w:lvlJc w:val="left"/>
    </w:lvl>
    <w:lvl w:ilvl="8" w:tplc="18F0F18C">
      <w:numFmt w:val="decimal"/>
      <w:lvlText w:val=""/>
      <w:lvlJc w:val="left"/>
    </w:lvl>
  </w:abstractNum>
  <w:num w:numId="1" w16cid:durableId="1790200054">
    <w:abstractNumId w:val="1"/>
    <w:lvlOverride w:ilvl="0">
      <w:startOverride w:val="1"/>
    </w:lvlOverride>
  </w:num>
  <w:num w:numId="2" w16cid:durableId="1508330290">
    <w:abstractNumId w:val="0"/>
    <w:lvlOverride w:ilvl="0">
      <w:startOverride w:val="1"/>
    </w:lvlOverride>
  </w:num>
  <w:num w:numId="3" w16cid:durableId="8369682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38D"/>
    <w:rsid w:val="00750175"/>
    <w:rsid w:val="007E1417"/>
    <w:rsid w:val="00D45643"/>
    <w:rsid w:val="00D51A6B"/>
    <w:rsid w:val="00F4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9898E"/>
  <w15:docId w15:val="{4FA14060-3F8E-410A-8475-1E1B6201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pBdr>
        <w:bottom w:val="single" w:sz="4" w:space="4" w:color="D6E4F5"/>
      </w:pBdr>
      <w:spacing w:before="280" w:after="140"/>
      <w:outlineLvl w:val="0"/>
    </w:pPr>
    <w:rPr>
      <w:b/>
      <w:bCs/>
      <w:color w:val="0969DA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berschrift3">
    <w:name w:val="heading 3"/>
    <w:uiPriority w:val="9"/>
    <w:unhideWhenUsed/>
    <w:qFormat/>
    <w:pPr>
      <w:spacing w:before="140" w:after="60"/>
      <w:outlineLvl w:val="2"/>
    </w:pPr>
    <w:rPr>
      <w:b/>
      <w:bCs/>
      <w:color w:val="0969DA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igital-strategy.ec.europa.eu/en/policies/eu-icons-labelling-ai-generated-cont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2308</Words>
  <Characters>16365</Characters>
  <Application>Microsoft Office Word</Application>
  <DocSecurity>0</DocSecurity>
  <Lines>320</Lines>
  <Paragraphs>188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KI-VO Art. 50 – Kennzeichnung KI-generierter Lehrmaterialien</vt:lpstr>
    </vt:vector>
  </TitlesOfParts>
  <Company/>
  <LinksUpToDate>false</LinksUpToDate>
  <CharactersWithSpaces>18485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KI-VO Art. 50 – Kennzeichnung KI-generierter Lehrmaterialien</dc:title>
  <dc:creator>iludis.de / LFB KI BW</dc:creator>
  <cp:lastModifiedBy>Jörg Thomas</cp:lastModifiedBy>
  <cp:revision>1</cp:revision>
  <dcterms:created xsi:type="dcterms:W3CDTF">2026-06-21T16:28:00Z</dcterms:created>
  <dcterms:modified xsi:type="dcterms:W3CDTF">2026-06-21T16:45:00Z</dcterms:modified>
</cp:coreProperties>
</file>