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0969DA"/>
          <w:sz w:val="28"/>
          <w:szCs w:val="28"/>
        </w:rPr>
        <w:t xml:space="preserve">TechServ GmbH — Supportticket-Klassifikation</w:t>
      </w:r>
    </w:p>
    <w:p>
      <w:pPr>
        <w:spacing w:after="2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Arbeitsblatt: Klassifikationsregeln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    Gruppe: ________________     Datum: ________________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0969DA" w:sz="1"/>
              <w:left w:val="single" w:color="0969DA" w:sz="1"/>
              <w:bottom w:val="single" w:color="0969DA" w:sz="1"/>
              <w:right w:val="single" w:color="0969DA" w:sz="1"/>
            </w:tcBorders>
            <w:shd w:fill="E7F3FF" w:color="auto" w:val="clear"/>
          </w:tcPr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0969DA"/>
                <w:sz w:val="22"/>
                <w:szCs w:val="22"/>
              </w:rPr>
              <w:t xml:space="preserve">📋 Szenario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Die TechServ GmbH will eingehende Supporttickets automatisch der richtigen Abteilung zuordnen lassen. Dafür braucht das System Beispieldaten, die von Menschen sortiert wurden. Ihr seid das Datenaufbereitungsteam. Eure Aufgabe:</w:t>
            </w:r>
          </w:p>
          <w:p>
            <w:pPr>
              <w:spacing w:after="4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0969DA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Klassifiziert jedes Ticket in eine der vier Kategorien (Hardware, Software, Netzwerk, Kaufmännisches).</w:t>
            </w:r>
          </w:p>
          <w:p>
            <w:pPr>
              <w:spacing w:after="4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0969DA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Schreibt eure Klassifikationsregeln auf — so eindeutig, dass eine fremde Person nach denselben Regeln zu denselben Ergebnissen kommt.</w:t>
            </w:r>
          </w:p>
          <w:p>
            <w:pPr>
              <w:spacing w:after="10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0969DA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Dokumentiert Grenzfälle: Tickets, bei denen ihr euch nicht einig wart, und wie ihr entschieden habt.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0969DA"/>
          <w:sz w:val="24"/>
          <w:szCs w:val="24"/>
        </w:rPr>
        <w:t xml:space="preserve">Teil A: Klassifikationsregeln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Formuliert für jede Kategorie eine Regel, die beschreibt, wann ein Ticket dorthin gehört. Denkt auch an Ausnahmen.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4800"/>
        <w:gridCol w:w="2800"/>
      </w:tblGrid>
      <w:tr>
        <w:tc>
          <w:tcPr>
            <w:tcW w:type="dxa" w:w="2000"/>
            <w:tcBorders>
              <w:top w:val="single" w:color="0969DA" w:sz="1"/>
              <w:left w:val="single" w:color="0969DA" w:sz="1"/>
              <w:bottom w:val="single" w:color="0969DA" w:sz="1"/>
              <w:right w:val="single" w:color="0969DA" w:sz="1"/>
            </w:tcBorders>
            <w:shd w:fill="0969DA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Kategorie</w:t>
            </w:r>
          </w:p>
        </w:tc>
        <w:tc>
          <w:tcPr>
            <w:tcW w:type="dxa" w:w="4800"/>
            <w:tcBorders>
              <w:top w:val="single" w:color="0969DA" w:sz="1"/>
              <w:left w:val="single" w:color="0969DA" w:sz="1"/>
              <w:bottom w:val="single" w:color="0969DA" w:sz="1"/>
              <w:right w:val="single" w:color="0969DA" w:sz="1"/>
            </w:tcBorders>
            <w:shd w:fill="0969DA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Unsere Regel (so formuliert, dass andere sie anwenden können)</w:t>
            </w:r>
          </w:p>
        </w:tc>
        <w:tc>
          <w:tcPr>
            <w:tcW w:type="dxa" w:w="2800"/>
            <w:tcBorders>
              <w:top w:val="single" w:color="0969DA" w:sz="1"/>
              <w:left w:val="single" w:color="0969DA" w:sz="1"/>
              <w:bottom w:val="single" w:color="0969DA" w:sz="1"/>
              <w:right w:val="single" w:color="0969DA" w:sz="1"/>
            </w:tcBorders>
            <w:shd w:fill="0969DA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Beispiel-Ticket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7F3FF" w:color="auto" w:val="clear"/>
            <w:vAlign w:val="top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969DA"/>
                <w:sz w:val="20"/>
                <w:szCs w:val="20"/>
              </w:rPr>
              <w:t xml:space="preserve">Hardware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z. B. Geräte, Monitore, Drucker, Kabel, ...</w:t>
            </w:r>
          </w:p>
        </w:tc>
        <w:tc>
          <w:tcPr>
            <w:tcW w:type="dxa" w:w="4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color="auto" w:val="clear"/>
            <w:vAlign w:val="top"/>
          </w:tcPr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color="auto" w:val="clear"/>
            <w:vAlign w:val="top"/>
          </w:tcPr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7F3FF" w:color="auto" w:val="clear"/>
            <w:vAlign w:val="top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969DA"/>
                <w:sz w:val="20"/>
                <w:szCs w:val="20"/>
              </w:rPr>
              <w:t xml:space="preserve">Software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z. B. Programme, Lizenzen, Updates, Treiber, ...</w:t>
            </w:r>
          </w:p>
        </w:tc>
        <w:tc>
          <w:tcPr>
            <w:tcW w:type="dxa" w:w="4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color="auto" w:val="clear"/>
            <w:vAlign w:val="top"/>
          </w:tcPr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color="auto" w:val="clear"/>
            <w:vAlign w:val="top"/>
          </w:tcPr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7F3FF" w:color="auto" w:val="clear"/>
            <w:vAlign w:val="top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969DA"/>
                <w:sz w:val="20"/>
                <w:szCs w:val="20"/>
              </w:rPr>
              <w:t xml:space="preserve">Netzwerk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z. B. WLAN, VPN, Laufwerke, Zugänge, ...</w:t>
            </w:r>
          </w:p>
        </w:tc>
        <w:tc>
          <w:tcPr>
            <w:tcW w:type="dxa" w:w="4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color="auto" w:val="clear"/>
            <w:vAlign w:val="top"/>
          </w:tcPr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color="auto" w:val="clear"/>
            <w:vAlign w:val="top"/>
          </w:tcPr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7F3FF" w:color="auto" w:val="clear"/>
            <w:vAlign w:val="top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969DA"/>
                <w:sz w:val="20"/>
                <w:szCs w:val="20"/>
              </w:rPr>
              <w:t xml:space="preserve">Kaufmännisches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z. B. Rechnungen, Verträge, Bestellungen, ...</w:t>
            </w:r>
          </w:p>
        </w:tc>
        <w:tc>
          <w:tcPr>
            <w:tcW w:type="dxa" w:w="4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color="auto" w:val="clear"/>
            <w:vAlign w:val="top"/>
          </w:tcPr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color="auto" w:val="clear"/>
            <w:vAlign w:val="top"/>
          </w:tcPr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</w:tr>
    </w:tbl>
    <w:p>
      <w:pPr>
        <w:spacing w:after="120" w:before="400"/>
      </w:pPr>
      <w:r>
        <w:rPr>
          <w:rFonts w:ascii="Arial" w:cs="Arial" w:eastAsia="Arial" w:hAnsi="Arial"/>
          <w:b/>
          <w:bCs/>
          <w:color w:val="0969DA"/>
          <w:sz w:val="24"/>
          <w:szCs w:val="24"/>
        </w:rPr>
        <w:t xml:space="preserve">Teil B: Grenzfälle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Welche Tickets waren schwierig einzuordnen? Notiert, warum — und wie ihr euch entschieden habt.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0"/>
        <w:gridCol w:w="4200"/>
        <w:gridCol w:w="4200"/>
      </w:tblGrid>
      <w:tr>
        <w:tc>
          <w:tcPr>
            <w:tcW w:type="dxa" w:w="1200"/>
            <w:tcBorders>
              <w:top w:val="single" w:color="0969DA" w:sz="1"/>
              <w:left w:val="single" w:color="0969DA" w:sz="1"/>
              <w:bottom w:val="single" w:color="0969DA" w:sz="1"/>
              <w:right w:val="single" w:color="0969DA" w:sz="1"/>
            </w:tcBorders>
            <w:shd w:fill="0969DA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Ticket-Nr</w:t>
            </w:r>
          </w:p>
        </w:tc>
        <w:tc>
          <w:tcPr>
            <w:tcW w:type="dxa" w:w="4200"/>
            <w:tcBorders>
              <w:top w:val="single" w:color="0969DA" w:sz="1"/>
              <w:left w:val="single" w:color="0969DA" w:sz="1"/>
              <w:bottom w:val="single" w:color="0969DA" w:sz="1"/>
              <w:right w:val="single" w:color="0969DA" w:sz="1"/>
            </w:tcBorders>
            <w:shd w:fill="0969DA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macht dieses Ticket schwierig?</w:t>
            </w:r>
          </w:p>
        </w:tc>
        <w:tc>
          <w:tcPr>
            <w:tcW w:type="dxa" w:w="4200"/>
            <w:tcBorders>
              <w:top w:val="single" w:color="0969DA" w:sz="1"/>
              <w:left w:val="single" w:color="0969DA" w:sz="1"/>
              <w:bottom w:val="single" w:color="0969DA" w:sz="1"/>
              <w:right w:val="single" w:color="0969DA" w:sz="1"/>
            </w:tcBorders>
            <w:shd w:fill="0969DA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Unsere Entscheidung + Begründung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color="auto" w:val="clear"/>
            <w:vAlign w:val="top"/>
          </w:tcPr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color="auto" w:val="clear"/>
            <w:vAlign w:val="top"/>
          </w:tcPr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color="auto" w:val="clear"/>
            <w:vAlign w:val="top"/>
          </w:tcPr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color="auto" w:val="clear"/>
            <w:vAlign w:val="top"/>
          </w:tcPr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color="auto" w:val="clear"/>
            <w:vAlign w:val="top"/>
          </w:tcPr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color="auto" w:val="clear"/>
            <w:vAlign w:val="top"/>
          </w:tcPr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color="auto" w:val="clear"/>
            <w:vAlign w:val="top"/>
          </w:tcPr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color="auto" w:val="clear"/>
            <w:vAlign w:val="top"/>
          </w:tcPr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color="auto" w:val="clear"/>
            <w:vAlign w:val="top"/>
          </w:tcPr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color="auto" w:val="clear"/>
            <w:vAlign w:val="top"/>
          </w:tcPr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color="auto" w:val="clear"/>
            <w:vAlign w:val="top"/>
          </w:tcPr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color="auto" w:val="clear"/>
            <w:vAlign w:val="top"/>
          </w:tcPr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</w:tr>
    </w:tbl>
    <w:p>
      <w:pPr>
        <w:spacing w:after="120" w:before="400"/>
      </w:pPr>
      <w:r>
        <w:rPr>
          <w:rFonts w:ascii="Arial" w:cs="Arial" w:eastAsia="Arial" w:hAnsi="Arial"/>
          <w:b/>
          <w:bCs/>
          <w:color w:val="0969DA"/>
          <w:sz w:val="24"/>
          <w:szCs w:val="24"/>
        </w:rPr>
        <w:t xml:space="preserve">Teil C: Personenbezogene Daten &amp; Anonymisierung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Geht euren Datensatz nochmals durch. Markiert alle Tickets mit personenbezogenen Daten und entwickelt eine Anonymisierungsregel.</w:t>
      </w:r>
    </w:p>
    <w:p>
      <w:pPr>
        <w:spacing w:after="12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0"/>
        <w:gridCol w:w="2800"/>
        <w:gridCol w:w="2800"/>
        <w:gridCol w:w="2800"/>
      </w:tblGrid>
      <w:tr>
        <w:tc>
          <w:tcPr>
            <w:tcW w:type="dxa" w:w="1200"/>
            <w:tcBorders>
              <w:top w:val="single" w:color="0969DA" w:sz="1"/>
              <w:left w:val="single" w:color="0969DA" w:sz="1"/>
              <w:bottom w:val="single" w:color="0969DA" w:sz="1"/>
              <w:right w:val="single" w:color="0969DA" w:sz="1"/>
            </w:tcBorders>
            <w:shd w:fill="0969DA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Ticket-Nr</w:t>
            </w:r>
          </w:p>
        </w:tc>
        <w:tc>
          <w:tcPr>
            <w:tcW w:type="dxa" w:w="2800"/>
            <w:tcBorders>
              <w:top w:val="single" w:color="0969DA" w:sz="1"/>
              <w:left w:val="single" w:color="0969DA" w:sz="1"/>
              <w:bottom w:val="single" w:color="0969DA" w:sz="1"/>
              <w:right w:val="single" w:color="0969DA" w:sz="1"/>
            </w:tcBorders>
            <w:shd w:fill="0969DA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Welche personenbezogenen Daten?</w:t>
            </w:r>
          </w:p>
        </w:tc>
        <w:tc>
          <w:tcPr>
            <w:tcW w:type="dxa" w:w="2800"/>
            <w:tcBorders>
              <w:top w:val="single" w:color="0969DA" w:sz="1"/>
              <w:left w:val="single" w:color="0969DA" w:sz="1"/>
              <w:bottom w:val="single" w:color="0969DA" w:sz="1"/>
              <w:right w:val="single" w:color="0969DA" w:sz="1"/>
            </w:tcBorders>
            <w:shd w:fill="0969DA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Anonymisierungsregel</w:t>
            </w:r>
          </w:p>
        </w:tc>
        <w:tc>
          <w:tcPr>
            <w:tcW w:type="dxa" w:w="2800"/>
            <w:tcBorders>
              <w:top w:val="single" w:color="0969DA" w:sz="1"/>
              <w:left w:val="single" w:color="0969DA" w:sz="1"/>
              <w:bottom w:val="single" w:color="0969DA" w:sz="1"/>
              <w:right w:val="single" w:color="0969DA" w:sz="1"/>
            </w:tcBorders>
            <w:shd w:fill="0969DA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geht durch Anonymisierung verloren?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color="auto" w:val="clear"/>
            <w:vAlign w:val="top"/>
          </w:tcPr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color="auto" w:val="clear"/>
            <w:vAlign w:val="top"/>
          </w:tcPr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color="auto" w:val="clear"/>
            <w:vAlign w:val="top"/>
          </w:tcPr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color="auto" w:val="clear"/>
            <w:vAlign w:val="top"/>
          </w:tcPr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color="auto" w:val="clear"/>
            <w:vAlign w:val="top"/>
          </w:tcPr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color="auto" w:val="clear"/>
            <w:vAlign w:val="top"/>
          </w:tcPr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color="auto" w:val="clear"/>
            <w:vAlign w:val="top"/>
          </w:tcPr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color="auto" w:val="clear"/>
            <w:vAlign w:val="top"/>
          </w:tcPr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color="auto" w:val="clear"/>
            <w:vAlign w:val="top"/>
          </w:tcPr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color="auto" w:val="clear"/>
            <w:vAlign w:val="top"/>
          </w:tcPr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color="auto" w:val="clear"/>
            <w:vAlign w:val="top"/>
          </w:tcPr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color="auto" w:val="clear"/>
            <w:vAlign w:val="top"/>
          </w:tcPr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color="auto" w:val="clear"/>
            <w:vAlign w:val="top"/>
          </w:tcPr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color="auto" w:val="clear"/>
            <w:vAlign w:val="top"/>
          </w:tcPr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color="auto" w:val="clear"/>
            <w:vAlign w:val="top"/>
          </w:tcPr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color="auto" w:val="clear"/>
            <w:vAlign w:val="top"/>
          </w:tcPr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</w:tr>
    </w:tbl>
    <w:p>
      <w:pPr>
        <w:spacing w:before="30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F9A825" w:sz="1"/>
              <w:left w:val="single" w:color="F9A825" w:sz="1"/>
              <w:bottom w:val="single" w:color="F9A825" w:sz="1"/>
              <w:right w:val="single" w:color="F9A825" w:sz="1"/>
            </w:tcBorders>
            <w:shd w:fill="FFF8E1" w:color="auto" w:val="clear"/>
          </w:tcPr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F57F17"/>
                <w:sz w:val="22"/>
                <w:szCs w:val="22"/>
              </w:rPr>
              <w:t xml:space="preserve">💬 Diskussionsfrage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Ticket T-029 enthält den Hinweis, dass der Nutzer sehbehindert ist. Darf man das anonymisieren? Was geht verloren, wenn man es tut — und was ist das Risiko, wenn man es nicht tut?</w:t>
            </w:r>
          </w:p>
        </w:tc>
      </w:tr>
    </w:tbl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2026-07-17T12:51:00.261Z</dcterms:created>
  <dcterms:modified xsi:type="dcterms:W3CDTF">2026-07-17T12:51:00.280Z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