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969DA"/>
          <w:sz w:val="32"/>
          <w:szCs w:val="32"/>
        </w:rPr>
        <w:t xml:space="preserve">Unterrichtsentwurf</w:t>
      </w:r>
    </w:p>
    <w:p>
      <w:pPr>
        <w:spacing w:after="60"/>
      </w:pPr>
      <w:r>
        <w:rPr>
          <w:rFonts w:ascii="Arial" w:cs="Arial" w:eastAsia="Arial" w:hAnsi="Arial"/>
          <w:color w:val="555555"/>
          <w:sz w:val="24"/>
          <w:szCs w:val="24"/>
        </w:rPr>
        <w:t xml:space="preserve">Datenklassifikation für KI-Modelle — „Garbage In, Garbage Out“</w:t>
      </w:r>
    </w:p>
    <w:p>
      <w:pPr>
        <w:spacing w:after="200"/>
      </w:pPr>
      <w:r>
        <w:rPr>
          <w:rFonts w:ascii="Arial" w:cs="Arial" w:eastAsia="Arial" w:hAnsi="Arial"/>
          <w:color w:val="888888"/>
          <w:sz w:val="22"/>
          <w:szCs w:val="22"/>
        </w:rPr>
        <w:t xml:space="preserve">Lernfeld 5: Software zur Verwaltung von Daten anpassen</w:t>
      </w:r>
    </w:p>
    <w:p>
      <w:pPr>
        <w:spacing w:after="120" w:before="240"/>
      </w:pPr>
      <w:r>
        <w:rPr>
          <w:rFonts w:ascii="Arial" w:cs="Arial" w:eastAsia="Arial" w:hAnsi="Arial"/>
          <w:b/>
          <w:bCs/>
          <w:color w:val="0969DA"/>
          <w:sz w:val="24"/>
          <w:szCs w:val="24"/>
        </w:rPr>
        <w:t xml:space="preserve">1  Rahmendaten</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c>
          <w:tcPr>
            <w:tcW w:type="dxa" w:w="3000"/>
            <w:tcBorders>
              <w:top w:val="single" w:color="D0D7DE" w:sz="1"/>
              <w:left w:val="single" w:color="D0D7DE" w:sz="1"/>
              <w:bottom w:val="single" w:color="D0D7DE" w:sz="1"/>
              <w:right w:val="single" w:color="D0D7DE" w:sz="1"/>
            </w:tcBorders>
            <w:shd w:fill="E7F3FF" w:color="auto" w:val="clear"/>
            <w:vAlign w:val="center"/>
          </w:tcPr>
          <w:p>
            <w:pPr>
              <w:spacing w:after="40" w:before="40"/>
              <w:jc w:val="left"/>
            </w:pPr>
            <w:r>
              <w:rPr>
                <w:rFonts w:ascii="Arial" w:cs="Arial" w:eastAsia="Arial" w:hAnsi="Arial"/>
                <w:b/>
                <w:bCs/>
                <w:color w:val="0969DA"/>
                <w:sz w:val="20"/>
                <w:szCs w:val="20"/>
              </w:rPr>
              <w:t xml:space="preserve">Fach</w:t>
            </w:r>
          </w:p>
        </w:tc>
        <w:tc>
          <w:tcPr>
            <w:tcW w:type="dxa" w:w="6600"/>
            <w:tcBorders>
              <w:top w:val="single" w:color="D0D7DE" w:sz="1"/>
              <w:left w:val="single" w:color="D0D7DE" w:sz="1"/>
              <w:bottom w:val="single" w:color="D0D7DE" w:sz="1"/>
              <w:right w:val="single" w:color="D0D7DE" w:sz="1"/>
            </w:tcBorders>
            <w:shd w:fill="FFFFFF" w:color="auto" w:val="clear"/>
            <w:vAlign w:val="center"/>
          </w:tcPr>
          <w:p>
            <w:pPr>
              <w:spacing w:after="40" w:before="40"/>
              <w:jc w:val="left"/>
            </w:pPr>
            <w:r>
              <w:rPr>
                <w:rFonts w:ascii="Arial" w:cs="Arial" w:eastAsia="Arial" w:hAnsi="Arial"/>
                <w:color w:val="333333"/>
                <w:sz w:val="20"/>
                <w:szCs w:val="20"/>
              </w:rPr>
              <w:t xml:space="preserve">Berufsfachliche Kompetenz — Kaufm. IT-Berufe (IT-SM / DM)</w:t>
            </w:r>
          </w:p>
        </w:tc>
      </w:tr>
      <w:tr>
        <w:tc>
          <w:tcPr>
            <w:tcW w:type="dxa" w:w="3000"/>
            <w:tcBorders>
              <w:top w:val="single" w:color="D0D7DE" w:sz="1"/>
              <w:left w:val="single" w:color="D0D7DE" w:sz="1"/>
              <w:bottom w:val="single" w:color="D0D7DE" w:sz="1"/>
              <w:right w:val="single" w:color="D0D7DE" w:sz="1"/>
            </w:tcBorders>
            <w:shd w:fill="E7F3FF" w:color="auto" w:val="clear"/>
            <w:vAlign w:val="center"/>
          </w:tcPr>
          <w:p>
            <w:pPr>
              <w:spacing w:after="40" w:before="40"/>
              <w:jc w:val="left"/>
            </w:pPr>
            <w:r>
              <w:rPr>
                <w:rFonts w:ascii="Arial" w:cs="Arial" w:eastAsia="Arial" w:hAnsi="Arial"/>
                <w:b/>
                <w:bCs/>
                <w:color w:val="0969DA"/>
                <w:sz w:val="20"/>
                <w:szCs w:val="20"/>
              </w:rPr>
              <w:t xml:space="preserve">Lernfeld</w:t>
            </w:r>
          </w:p>
        </w:tc>
        <w:tc>
          <w:tcPr>
            <w:tcW w:type="dxa" w:w="6600"/>
            <w:tcBorders>
              <w:top w:val="single" w:color="D0D7DE" w:sz="1"/>
              <w:left w:val="single" w:color="D0D7DE" w:sz="1"/>
              <w:bottom w:val="single" w:color="D0D7DE" w:sz="1"/>
              <w:right w:val="single" w:color="D0D7DE" w:sz="1"/>
            </w:tcBorders>
            <w:shd w:fill="F6F8FA" w:color="auto" w:val="clear"/>
            <w:vAlign w:val="center"/>
          </w:tcPr>
          <w:p>
            <w:pPr>
              <w:spacing w:after="40" w:before="40"/>
              <w:jc w:val="left"/>
            </w:pPr>
            <w:r>
              <w:rPr>
                <w:rFonts w:ascii="Arial" w:cs="Arial" w:eastAsia="Arial" w:hAnsi="Arial"/>
                <w:color w:val="333333"/>
                <w:sz w:val="20"/>
                <w:szCs w:val="20"/>
              </w:rPr>
              <w:t xml:space="preserve">5 — Software zur Verwaltung von Daten anpassen</w:t>
            </w:r>
          </w:p>
        </w:tc>
      </w:tr>
      <w:tr>
        <w:tc>
          <w:tcPr>
            <w:tcW w:type="dxa" w:w="3000"/>
            <w:tcBorders>
              <w:top w:val="single" w:color="D0D7DE" w:sz="1"/>
              <w:left w:val="single" w:color="D0D7DE" w:sz="1"/>
              <w:bottom w:val="single" w:color="D0D7DE" w:sz="1"/>
              <w:right w:val="single" w:color="D0D7DE" w:sz="1"/>
            </w:tcBorders>
            <w:shd w:fill="E7F3FF" w:color="auto" w:val="clear"/>
            <w:vAlign w:val="center"/>
          </w:tcPr>
          <w:p>
            <w:pPr>
              <w:spacing w:after="40" w:before="40"/>
              <w:jc w:val="left"/>
            </w:pPr>
            <w:r>
              <w:rPr>
                <w:rFonts w:ascii="Arial" w:cs="Arial" w:eastAsia="Arial" w:hAnsi="Arial"/>
                <w:b/>
                <w:bCs/>
                <w:color w:val="0969DA"/>
                <w:sz w:val="20"/>
                <w:szCs w:val="20"/>
              </w:rPr>
              <w:t xml:space="preserve">Ausbildungsjahr</w:t>
            </w:r>
          </w:p>
        </w:tc>
        <w:tc>
          <w:tcPr>
            <w:tcW w:type="dxa" w:w="6600"/>
            <w:tcBorders>
              <w:top w:val="single" w:color="D0D7DE" w:sz="1"/>
              <w:left w:val="single" w:color="D0D7DE" w:sz="1"/>
              <w:bottom w:val="single" w:color="D0D7DE" w:sz="1"/>
              <w:right w:val="single" w:color="D0D7DE" w:sz="1"/>
            </w:tcBorders>
            <w:shd w:fill="FFFFFF" w:color="auto" w:val="clear"/>
            <w:vAlign w:val="center"/>
          </w:tcPr>
          <w:p>
            <w:pPr>
              <w:spacing w:after="40" w:before="40"/>
              <w:jc w:val="left"/>
            </w:pPr>
            <w:r>
              <w:rPr>
                <w:rFonts w:ascii="Arial" w:cs="Arial" w:eastAsia="Arial" w:hAnsi="Arial"/>
                <w:color w:val="333333"/>
                <w:sz w:val="20"/>
                <w:szCs w:val="20"/>
              </w:rPr>
              <w:t xml:space="preserve">1</w:t>
            </w:r>
          </w:p>
        </w:tc>
      </w:tr>
      <w:tr>
        <w:tc>
          <w:tcPr>
            <w:tcW w:type="dxa" w:w="3000"/>
            <w:tcBorders>
              <w:top w:val="single" w:color="D0D7DE" w:sz="1"/>
              <w:left w:val="single" w:color="D0D7DE" w:sz="1"/>
              <w:bottom w:val="single" w:color="D0D7DE" w:sz="1"/>
              <w:right w:val="single" w:color="D0D7DE" w:sz="1"/>
            </w:tcBorders>
            <w:shd w:fill="E7F3FF" w:color="auto" w:val="clear"/>
            <w:vAlign w:val="center"/>
          </w:tcPr>
          <w:p>
            <w:pPr>
              <w:spacing w:after="40" w:before="40"/>
              <w:jc w:val="left"/>
            </w:pPr>
            <w:r>
              <w:rPr>
                <w:rFonts w:ascii="Arial" w:cs="Arial" w:eastAsia="Arial" w:hAnsi="Arial"/>
                <w:b/>
                <w:bCs/>
                <w:color w:val="0969DA"/>
                <w:sz w:val="20"/>
                <w:szCs w:val="20"/>
              </w:rPr>
              <w:t xml:space="preserve">Zeitbedarf</w:t>
            </w:r>
          </w:p>
        </w:tc>
        <w:tc>
          <w:tcPr>
            <w:tcW w:type="dxa" w:w="6600"/>
            <w:tcBorders>
              <w:top w:val="single" w:color="D0D7DE" w:sz="1"/>
              <w:left w:val="single" w:color="D0D7DE" w:sz="1"/>
              <w:bottom w:val="single" w:color="D0D7DE" w:sz="1"/>
              <w:right w:val="single" w:color="D0D7DE" w:sz="1"/>
            </w:tcBorders>
            <w:shd w:fill="F6F8FA" w:color="auto" w:val="clear"/>
            <w:vAlign w:val="center"/>
          </w:tcPr>
          <w:p>
            <w:pPr>
              <w:spacing w:after="40" w:before="40"/>
              <w:jc w:val="left"/>
            </w:pPr>
            <w:r>
              <w:rPr>
                <w:rFonts w:ascii="Arial" w:cs="Arial" w:eastAsia="Arial" w:hAnsi="Arial"/>
                <w:color w:val="333333"/>
                <w:sz w:val="20"/>
                <w:szCs w:val="20"/>
              </w:rPr>
              <w:t xml:space="preserve">2 × 90 Minuten (Doppelstunde 1 + 2)</w:t>
            </w:r>
          </w:p>
        </w:tc>
      </w:tr>
      <w:tr>
        <w:tc>
          <w:tcPr>
            <w:tcW w:type="dxa" w:w="3000"/>
            <w:tcBorders>
              <w:top w:val="single" w:color="D0D7DE" w:sz="1"/>
              <w:left w:val="single" w:color="D0D7DE" w:sz="1"/>
              <w:bottom w:val="single" w:color="D0D7DE" w:sz="1"/>
              <w:right w:val="single" w:color="D0D7DE" w:sz="1"/>
            </w:tcBorders>
            <w:shd w:fill="E7F3FF" w:color="auto" w:val="clear"/>
            <w:vAlign w:val="center"/>
          </w:tcPr>
          <w:p>
            <w:pPr>
              <w:spacing w:after="40" w:before="40"/>
              <w:jc w:val="left"/>
            </w:pPr>
            <w:r>
              <w:rPr>
                <w:rFonts w:ascii="Arial" w:cs="Arial" w:eastAsia="Arial" w:hAnsi="Arial"/>
                <w:b/>
                <w:bCs/>
                <w:color w:val="0969DA"/>
                <w:sz w:val="20"/>
                <w:szCs w:val="20"/>
              </w:rPr>
              <w:t xml:space="preserve">KI-Kompetenzdomänen</w:t>
            </w:r>
          </w:p>
        </w:tc>
        <w:tc>
          <w:tcPr>
            <w:tcW w:type="dxa" w:w="6600"/>
            <w:tcBorders>
              <w:top w:val="single" w:color="D0D7DE" w:sz="1"/>
              <w:left w:val="single" w:color="D0D7DE" w:sz="1"/>
              <w:bottom w:val="single" w:color="D0D7DE" w:sz="1"/>
              <w:right w:val="single" w:color="D0D7DE" w:sz="1"/>
            </w:tcBorders>
            <w:shd w:fill="FFFFFF" w:color="auto" w:val="clear"/>
            <w:vAlign w:val="center"/>
          </w:tcPr>
          <w:p>
            <w:pPr>
              <w:spacing w:after="40" w:before="40"/>
              <w:jc w:val="left"/>
            </w:pPr>
            <w:r>
              <w:rPr>
                <w:rFonts w:ascii="Arial" w:cs="Arial" w:eastAsia="Arial" w:hAnsi="Arial"/>
                <w:color w:val="333333"/>
                <w:sz w:val="20"/>
                <w:szCs w:val="20"/>
              </w:rPr>
              <w:t xml:space="preserve">E (Erkunden &amp; Verstehen), G (Mit KI gestalten), B (Bewerten &amp; Einordnen)</w:t>
            </w:r>
          </w:p>
        </w:tc>
      </w:tr>
      <w:tr>
        <w:tc>
          <w:tcPr>
            <w:tcW w:type="dxa" w:w="3000"/>
            <w:tcBorders>
              <w:top w:val="single" w:color="D0D7DE" w:sz="1"/>
              <w:left w:val="single" w:color="D0D7DE" w:sz="1"/>
              <w:bottom w:val="single" w:color="D0D7DE" w:sz="1"/>
              <w:right w:val="single" w:color="D0D7DE" w:sz="1"/>
            </w:tcBorders>
            <w:shd w:fill="E7F3FF" w:color="auto" w:val="clear"/>
            <w:vAlign w:val="center"/>
          </w:tcPr>
          <w:p>
            <w:pPr>
              <w:spacing w:after="40" w:before="40"/>
              <w:jc w:val="left"/>
            </w:pPr>
            <w:r>
              <w:rPr>
                <w:rFonts w:ascii="Arial" w:cs="Arial" w:eastAsia="Arial" w:hAnsi="Arial"/>
                <w:b/>
                <w:bCs/>
                <w:color w:val="0969DA"/>
                <w:sz w:val="20"/>
                <w:szCs w:val="20"/>
              </w:rPr>
              <w:t xml:space="preserve">Bildungsplan-Bezug</w:t>
            </w:r>
          </w:p>
        </w:tc>
        <w:tc>
          <w:tcPr>
            <w:tcW w:type="dxa" w:w="6600"/>
            <w:tcBorders>
              <w:top w:val="single" w:color="D0D7DE" w:sz="1"/>
              <w:left w:val="single" w:color="D0D7DE" w:sz="1"/>
              <w:bottom w:val="single" w:color="D0D7DE" w:sz="1"/>
              <w:right w:val="single" w:color="D0D7DE" w:sz="1"/>
            </w:tcBorders>
            <w:shd w:fill="F6F8FA" w:color="auto" w:val="clear"/>
            <w:vAlign w:val="center"/>
          </w:tcPr>
          <w:p>
            <w:pPr>
              <w:spacing w:after="40" w:before="40"/>
              <w:jc w:val="left"/>
            </w:pPr>
            <w:r>
              <w:rPr>
                <w:rFonts w:ascii="Arial" w:cs="Arial" w:eastAsia="Arial" w:hAnsi="Arial"/>
                <w:color w:val="333333"/>
                <w:sz w:val="20"/>
                <w:szCs w:val="20"/>
              </w:rPr>
              <w:t xml:space="preserve">LF5: „Daten hinsichtlich Herkunft, Art, Verfügbarkeit, Datenschutz, Datensicherheit und Speicheranforderung analysieren“; „Testfälle entwickeln“; „Eignung zur Bewältigung der gestellten Anforderungen beurteilen“. Querverbindung zu LF6 (Serviceanfragen bearbeiten).</w:t>
            </w:r>
          </w:p>
        </w:tc>
      </w:tr>
      <w:tr>
        <w:tc>
          <w:tcPr>
            <w:tcW w:type="dxa" w:w="3000"/>
            <w:tcBorders>
              <w:top w:val="single" w:color="D0D7DE" w:sz="1"/>
              <w:left w:val="single" w:color="D0D7DE" w:sz="1"/>
              <w:bottom w:val="single" w:color="D0D7DE" w:sz="1"/>
              <w:right w:val="single" w:color="D0D7DE" w:sz="1"/>
            </w:tcBorders>
            <w:shd w:fill="E7F3FF" w:color="auto" w:val="clear"/>
            <w:vAlign w:val="center"/>
          </w:tcPr>
          <w:p>
            <w:pPr>
              <w:spacing w:after="40" w:before="40"/>
              <w:jc w:val="left"/>
            </w:pPr>
            <w:r>
              <w:rPr>
                <w:rFonts w:ascii="Arial" w:cs="Arial" w:eastAsia="Arial" w:hAnsi="Arial"/>
                <w:b/>
                <w:bCs/>
                <w:color w:val="0969DA"/>
                <w:sz w:val="20"/>
                <w:szCs w:val="20"/>
              </w:rPr>
              <w:t xml:space="preserve">Voraussetzungen</w:t>
            </w:r>
          </w:p>
        </w:tc>
        <w:tc>
          <w:tcPr>
            <w:tcW w:type="dxa" w:w="6600"/>
            <w:tcBorders>
              <w:top w:val="single" w:color="D0D7DE" w:sz="1"/>
              <w:left w:val="single" w:color="D0D7DE" w:sz="1"/>
              <w:bottom w:val="single" w:color="D0D7DE" w:sz="1"/>
              <w:right w:val="single" w:color="D0D7DE" w:sz="1"/>
            </w:tcBorders>
            <w:shd w:fill="FFFFFF" w:color="auto" w:val="clear"/>
            <w:vAlign w:val="center"/>
          </w:tcPr>
          <w:p>
            <w:pPr>
              <w:spacing w:after="40" w:before="40"/>
              <w:jc w:val="left"/>
            </w:pPr>
            <w:r>
              <w:rPr>
                <w:rFonts w:ascii="Arial" w:cs="Arial" w:eastAsia="Arial" w:hAnsi="Arial"/>
                <w:color w:val="333333"/>
                <w:sz w:val="20"/>
                <w:szCs w:val="20"/>
              </w:rPr>
              <w:t xml:space="preserve">Grundlegende Datenmodellierung und Datenformate (CSV, JSON) bekannt. SuS können mit Tabellenkalkulationen arbeiten. Kein KI-/ML-Vorwissen nötig.</w:t>
            </w:r>
          </w:p>
        </w:tc>
      </w:tr>
      <w:tr>
        <w:tc>
          <w:tcPr>
            <w:tcW w:type="dxa" w:w="3000"/>
            <w:tcBorders>
              <w:top w:val="single" w:color="D0D7DE" w:sz="1"/>
              <w:left w:val="single" w:color="D0D7DE" w:sz="1"/>
              <w:bottom w:val="single" w:color="D0D7DE" w:sz="1"/>
              <w:right w:val="single" w:color="D0D7DE" w:sz="1"/>
            </w:tcBorders>
            <w:shd w:fill="E7F3FF" w:color="auto" w:val="clear"/>
            <w:vAlign w:val="center"/>
          </w:tcPr>
          <w:p>
            <w:pPr>
              <w:spacing w:after="40" w:before="40"/>
              <w:jc w:val="left"/>
            </w:pPr>
            <w:r>
              <w:rPr>
                <w:rFonts w:ascii="Arial" w:cs="Arial" w:eastAsia="Arial" w:hAnsi="Arial"/>
                <w:b/>
                <w:bCs/>
                <w:color w:val="0969DA"/>
                <w:sz w:val="20"/>
                <w:szCs w:val="20"/>
              </w:rPr>
              <w:t xml:space="preserve">Materialien</w:t>
            </w:r>
          </w:p>
        </w:tc>
        <w:tc>
          <w:tcPr>
            <w:tcW w:type="dxa" w:w="6600"/>
            <w:tcBorders>
              <w:top w:val="single" w:color="D0D7DE" w:sz="1"/>
              <w:left w:val="single" w:color="D0D7DE" w:sz="1"/>
              <w:bottom w:val="single" w:color="D0D7DE" w:sz="1"/>
              <w:right w:val="single" w:color="D0D7DE" w:sz="1"/>
            </w:tcBorders>
            <w:shd w:fill="F6F8FA" w:color="auto" w:val="clear"/>
            <w:vAlign w:val="center"/>
          </w:tcPr>
          <w:p>
            <w:pPr>
              <w:spacing w:after="40" w:before="40"/>
              <w:jc w:val="left"/>
            </w:pPr>
            <w:r>
              <w:rPr>
                <w:rFonts w:ascii="Arial" w:cs="Arial" w:eastAsia="Arial" w:hAnsi="Arial"/>
                <w:color w:val="333333"/>
                <w:sz w:val="20"/>
                <w:szCs w:val="20"/>
              </w:rPr>
              <w:t xml:space="preserve">Rechner mit Browser; Datensatz TechServ_Supporttickets_SuS.csv (30 Tickets); ML-Tool (Gradio-Interface oder vergleichbar); AB Klassifikationsregeln; AB Qualitätsraster; 10 Testtickets (Lehrkraft-Set)</w:t>
            </w:r>
          </w:p>
        </w:tc>
      </w:tr>
    </w:tbl>
    <w:p>
      <w:pPr>
        <w:spacing w:after="120" w:before="240"/>
      </w:pPr>
      <w:r>
        <w:rPr>
          <w:rFonts w:ascii="Arial" w:cs="Arial" w:eastAsia="Arial" w:hAnsi="Arial"/>
          <w:b/>
          <w:bCs/>
          <w:color w:val="0969DA"/>
          <w:sz w:val="24"/>
          <w:szCs w:val="24"/>
        </w:rPr>
        <w:t xml:space="preserve">2  Kernidee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0969DA" w:sz="1"/>
              <w:left w:val="single" w:color="0969DA" w:sz="1"/>
              <w:bottom w:val="single" w:color="0969DA" w:sz="1"/>
              <w:right w:val="single" w:color="0969DA" w:sz="1"/>
            </w:tcBorders>
            <w:shd w:fill="E7F3FF" w:color="auto" w:val="clear"/>
          </w:tcPr>
          <w:p>
            <w:pPr>
              <w:spacing w:after="80" w:before="100"/>
              <w:jc w:val="left"/>
            </w:pPr>
            <w:r>
              <w:rPr>
                <w:rFonts w:ascii="Arial" w:cs="Arial" w:eastAsia="Arial" w:hAnsi="Arial"/>
                <w:b/>
                <w:bCs/>
                <w:color w:val="0969DA"/>
                <w:sz w:val="20"/>
                <w:szCs w:val="20"/>
              </w:rPr>
              <w:t xml:space="preserve">Fachliche Frage: </w:t>
            </w:r>
            <w:r>
              <w:rPr>
                <w:rFonts w:ascii="Arial" w:cs="Arial" w:eastAsia="Arial" w:hAnsi="Arial"/>
                <w:color w:val="333333"/>
                <w:sz w:val="20"/>
                <w:szCs w:val="20"/>
              </w:rPr>
              <w:t xml:space="preserve">Wie müssen Daten klassifiziert, strukturiert und qualitätsgesichert werden, damit sie für automatisierte Verarbeitungsprozesse taugen — und welche Fehler in der Datenaufbereitung führen zu fehlerhaften Ergebnissen?</w:t>
            </w:r>
          </w:p>
          <w:p>
            <w:pPr>
              <w:spacing w:after="80" w:before="60"/>
              <w:jc w:val="left"/>
            </w:pPr>
            <w:r>
              <w:rPr>
                <w:rFonts w:ascii="Arial" w:cs="Arial" w:eastAsia="Arial" w:hAnsi="Arial"/>
                <w:b/>
                <w:bCs/>
                <w:color w:val="0969DA"/>
                <w:sz w:val="20"/>
                <w:szCs w:val="20"/>
              </w:rPr>
              <w:t xml:space="preserve">KI-Bereicherung: </w:t>
            </w:r>
            <w:r>
              <w:rPr>
                <w:rFonts w:ascii="Arial" w:cs="Arial" w:eastAsia="Arial" w:hAnsi="Arial"/>
                <w:color w:val="333333"/>
                <w:sz w:val="20"/>
                <w:szCs w:val="20"/>
              </w:rPr>
              <w:t xml:space="preserve">ML-Modelle machen die Konsequenzen schlechter Datenklassifikation unmittelbar sichtbar: Falsch gelabelte, unvollständige oder verzerrte Trainingsdaten produzieren messbar schlechtere Vorhersagen. Die SuS erleben am konkreten Beispiel, warum Datenqualität keine abstrakte Pflichtübung ist, sondern operative Voraussetzung für funktionierende Systeme.</w:t>
            </w:r>
          </w:p>
          <w:p>
            <w:pPr>
              <w:spacing w:after="100" w:before="60"/>
              <w:jc w:val="left"/>
            </w:pPr>
            <w:r>
              <w:rPr>
                <w:rFonts w:ascii="Arial" w:cs="Arial" w:eastAsia="Arial" w:hAnsi="Arial"/>
                <w:b/>
                <w:bCs/>
                <w:color w:val="0969DA"/>
                <w:sz w:val="20"/>
                <w:szCs w:val="20"/>
              </w:rPr>
              <w:t xml:space="preserve">Szenario: </w:t>
            </w:r>
            <w:r>
              <w:rPr>
                <w:rFonts w:ascii="Arial" w:cs="Arial" w:eastAsia="Arial" w:hAnsi="Arial"/>
                <w:color w:val="333333"/>
                <w:sz w:val="20"/>
                <w:szCs w:val="20"/>
              </w:rPr>
              <w:t xml:space="preserve">Ein fiktives IT-Systemhaus (TechServ GmbH) will eingehende Supporttickets automatisch der richtigen Abteilung zuordnen lassen. Die SuS übernehmen die Rolle des Datenaufbereitungsteams: Sie klassifizieren Tickets, entwickeln Klassifikationsregeln und erleben dann anhand eines einfachen ML-Modells, wie sich ihre Klassifikationsqualität direkt auf die Vorhersagegenauigkeit auswirkt.</w:t>
            </w:r>
          </w:p>
        </w:tc>
      </w:tr>
    </w:tbl>
    <w:p>
      <w:pPr>
        <w:spacing w:after="120" w:before="240"/>
      </w:pPr>
      <w:r>
        <w:rPr>
          <w:rFonts w:ascii="Arial" w:cs="Arial" w:eastAsia="Arial" w:hAnsi="Arial"/>
          <w:b/>
          <w:bCs/>
          <w:color w:val="0969DA"/>
          <w:sz w:val="24"/>
          <w:szCs w:val="24"/>
        </w:rPr>
        <w:t xml:space="preserve">3  Lernziele</w:t>
      </w:r>
    </w:p>
    <w:p>
      <w:pPr>
        <w:spacing w:after="60" w:before="80"/>
        <w:jc w:val="left"/>
      </w:pPr>
      <w:r>
        <w:rPr>
          <w:rFonts w:ascii="Arial" w:cs="Arial" w:eastAsia="Arial" w:hAnsi="Arial"/>
          <w:b/>
          <w:bCs/>
          <w:color w:val="0969DA"/>
          <w:sz w:val="20"/>
          <w:szCs w:val="20"/>
        </w:rPr>
        <w:t xml:space="preserve">(1) </w:t>
      </w:r>
      <w:r>
        <w:rPr>
          <w:rFonts w:ascii="Arial" w:cs="Arial" w:eastAsia="Arial" w:hAnsi="Arial"/>
          <w:color w:val="333333"/>
          <w:sz w:val="20"/>
          <w:szCs w:val="20"/>
        </w:rPr>
        <w:t xml:space="preserve">SuS </w:t>
      </w:r>
      <w:r>
        <w:rPr>
          <w:rFonts w:ascii="Arial" w:cs="Arial" w:eastAsia="Arial" w:hAnsi="Arial"/>
          <w:b/>
          <w:bCs/>
          <w:color w:val="333333"/>
          <w:sz w:val="20"/>
          <w:szCs w:val="20"/>
        </w:rPr>
        <w:t xml:space="preserve">klassifizieren</w:t>
      </w:r>
      <w:r>
        <w:rPr>
          <w:rFonts w:ascii="Arial" w:cs="Arial" w:eastAsia="Arial" w:hAnsi="Arial"/>
          <w:color w:val="333333"/>
          <w:sz w:val="20"/>
          <w:szCs w:val="20"/>
        </w:rPr>
        <w:t xml:space="preserve"> unstrukturierte Textdaten (Supporttickets) nach selbst entwickelten Kriterien in definierte Kategorien und </w:t>
      </w:r>
      <w:r>
        <w:rPr>
          <w:rFonts w:ascii="Arial" w:cs="Arial" w:eastAsia="Arial" w:hAnsi="Arial"/>
          <w:b/>
          <w:bCs/>
          <w:color w:val="333333"/>
          <w:sz w:val="20"/>
          <w:szCs w:val="20"/>
        </w:rPr>
        <w:t xml:space="preserve">dokumentieren</w:t>
      </w:r>
      <w:r>
        <w:rPr>
          <w:rFonts w:ascii="Arial" w:cs="Arial" w:eastAsia="Arial" w:hAnsi="Arial"/>
          <w:color w:val="333333"/>
          <w:sz w:val="20"/>
          <w:szCs w:val="20"/>
        </w:rPr>
        <w:t xml:space="preserve"> ihre Klassifikationsregeln.</w:t>
      </w:r>
    </w:p>
    <w:p>
      <w:pPr>
        <w:spacing w:after="60" w:before="60"/>
        <w:jc w:val="left"/>
      </w:pPr>
      <w:r>
        <w:rPr>
          <w:rFonts w:ascii="Arial" w:cs="Arial" w:eastAsia="Arial" w:hAnsi="Arial"/>
          <w:b/>
          <w:bCs/>
          <w:color w:val="0969DA"/>
          <w:sz w:val="20"/>
          <w:szCs w:val="20"/>
        </w:rPr>
        <w:t xml:space="preserve">(2) </w:t>
      </w:r>
      <w:r>
        <w:rPr>
          <w:rFonts w:ascii="Arial" w:cs="Arial" w:eastAsia="Arial" w:hAnsi="Arial"/>
          <w:color w:val="333333"/>
          <w:sz w:val="20"/>
          <w:szCs w:val="20"/>
        </w:rPr>
        <w:t xml:space="preserve">SuS </w:t>
      </w:r>
      <w:r>
        <w:rPr>
          <w:rFonts w:ascii="Arial" w:cs="Arial" w:eastAsia="Arial" w:hAnsi="Arial"/>
          <w:b/>
          <w:bCs/>
          <w:color w:val="333333"/>
          <w:sz w:val="20"/>
          <w:szCs w:val="20"/>
        </w:rPr>
        <w:t xml:space="preserve">analysieren</w:t>
      </w:r>
      <w:r>
        <w:rPr>
          <w:rFonts w:ascii="Arial" w:cs="Arial" w:eastAsia="Arial" w:hAnsi="Arial"/>
          <w:color w:val="333333"/>
          <w:sz w:val="20"/>
          <w:szCs w:val="20"/>
        </w:rPr>
        <w:t xml:space="preserve"> Grenzfälle und Mehrdeutigkeiten in Datensätzen und </w:t>
      </w:r>
      <w:r>
        <w:rPr>
          <w:rFonts w:ascii="Arial" w:cs="Arial" w:eastAsia="Arial" w:hAnsi="Arial"/>
          <w:b/>
          <w:bCs/>
          <w:color w:val="333333"/>
          <w:sz w:val="20"/>
          <w:szCs w:val="20"/>
        </w:rPr>
        <w:t xml:space="preserve">begründen</w:t>
      </w:r>
      <w:r>
        <w:rPr>
          <w:rFonts w:ascii="Arial" w:cs="Arial" w:eastAsia="Arial" w:hAnsi="Arial"/>
          <w:color w:val="333333"/>
          <w:sz w:val="20"/>
          <w:szCs w:val="20"/>
        </w:rPr>
        <w:t xml:space="preserve"> ihre Zuordnungsentscheidungen.</w:t>
      </w:r>
    </w:p>
    <w:p>
      <w:pPr>
        <w:spacing w:after="60" w:before="60"/>
        <w:jc w:val="left"/>
      </w:pPr>
      <w:r>
        <w:rPr>
          <w:rFonts w:ascii="Arial" w:cs="Arial" w:eastAsia="Arial" w:hAnsi="Arial"/>
          <w:b/>
          <w:bCs/>
          <w:color w:val="0969DA"/>
          <w:sz w:val="20"/>
          <w:szCs w:val="20"/>
        </w:rPr>
        <w:t xml:space="preserve">(3) </w:t>
      </w:r>
      <w:r>
        <w:rPr>
          <w:rFonts w:ascii="Arial" w:cs="Arial" w:eastAsia="Arial" w:hAnsi="Arial"/>
          <w:color w:val="333333"/>
          <w:sz w:val="20"/>
          <w:szCs w:val="20"/>
        </w:rPr>
        <w:t xml:space="preserve">SuS </w:t>
      </w:r>
      <w:r>
        <w:rPr>
          <w:rFonts w:ascii="Arial" w:cs="Arial" w:eastAsia="Arial" w:hAnsi="Arial"/>
          <w:b/>
          <w:bCs/>
          <w:color w:val="333333"/>
          <w:sz w:val="20"/>
          <w:szCs w:val="20"/>
        </w:rPr>
        <w:t xml:space="preserve">vergleichen</w:t>
      </w:r>
      <w:r>
        <w:rPr>
          <w:rFonts w:ascii="Arial" w:cs="Arial" w:eastAsia="Arial" w:hAnsi="Arial"/>
          <w:color w:val="333333"/>
          <w:sz w:val="20"/>
          <w:szCs w:val="20"/>
        </w:rPr>
        <w:t xml:space="preserve"> die Vorhersagequalität von ML-Modellen, die auf unterschiedlich sorgfältig klassifizierten Datensätzen trainiert wurden, und </w:t>
      </w:r>
      <w:r>
        <w:rPr>
          <w:rFonts w:ascii="Arial" w:cs="Arial" w:eastAsia="Arial" w:hAnsi="Arial"/>
          <w:b/>
          <w:bCs/>
          <w:color w:val="333333"/>
          <w:sz w:val="20"/>
          <w:szCs w:val="20"/>
        </w:rPr>
        <w:t xml:space="preserve">leiten daraus ab</w:t>
      </w:r>
      <w:r>
        <w:rPr>
          <w:rFonts w:ascii="Arial" w:cs="Arial" w:eastAsia="Arial" w:hAnsi="Arial"/>
          <w:color w:val="333333"/>
          <w:sz w:val="20"/>
          <w:szCs w:val="20"/>
        </w:rPr>
        <w:t xml:space="preserve">, welche Qualitätsanforderungen an Trainingsdaten bestehen.</w:t>
      </w:r>
    </w:p>
    <w:p>
      <w:pPr>
        <w:spacing w:after="60" w:before="60"/>
        <w:jc w:val="left"/>
      </w:pPr>
      <w:r>
        <w:rPr>
          <w:rFonts w:ascii="Arial" w:cs="Arial" w:eastAsia="Arial" w:hAnsi="Arial"/>
          <w:b/>
          <w:bCs/>
          <w:color w:val="0969DA"/>
          <w:sz w:val="20"/>
          <w:szCs w:val="20"/>
        </w:rPr>
        <w:t xml:space="preserve">(4) </w:t>
      </w:r>
      <w:r>
        <w:rPr>
          <w:rFonts w:ascii="Arial" w:cs="Arial" w:eastAsia="Arial" w:hAnsi="Arial"/>
          <w:color w:val="333333"/>
          <w:sz w:val="20"/>
          <w:szCs w:val="20"/>
        </w:rPr>
        <w:t xml:space="preserve">SuS </w:t>
      </w:r>
      <w:r>
        <w:rPr>
          <w:rFonts w:ascii="Arial" w:cs="Arial" w:eastAsia="Arial" w:hAnsi="Arial"/>
          <w:b/>
          <w:bCs/>
          <w:color w:val="333333"/>
          <w:sz w:val="20"/>
          <w:szCs w:val="20"/>
        </w:rPr>
        <w:t xml:space="preserve">bewerten</w:t>
      </w:r>
      <w:r>
        <w:rPr>
          <w:rFonts w:ascii="Arial" w:cs="Arial" w:eastAsia="Arial" w:hAnsi="Arial"/>
          <w:color w:val="333333"/>
          <w:sz w:val="20"/>
          <w:szCs w:val="20"/>
        </w:rPr>
        <w:t xml:space="preserve"> Datenschutzrisiken in Supporttickets und </w:t>
      </w:r>
      <w:r>
        <w:rPr>
          <w:rFonts w:ascii="Arial" w:cs="Arial" w:eastAsia="Arial" w:hAnsi="Arial"/>
          <w:b/>
          <w:bCs/>
          <w:color w:val="333333"/>
          <w:sz w:val="20"/>
          <w:szCs w:val="20"/>
        </w:rPr>
        <w:t xml:space="preserve">entwickeln</w:t>
      </w:r>
      <w:r>
        <w:rPr>
          <w:rFonts w:ascii="Arial" w:cs="Arial" w:eastAsia="Arial" w:hAnsi="Arial"/>
          <w:color w:val="333333"/>
          <w:sz w:val="20"/>
          <w:szCs w:val="20"/>
        </w:rPr>
        <w:t xml:space="preserve"> Anonymisierungsregeln, die die Nutzbarkeit der Daten für das Training erhalten.</w:t>
      </w:r>
    </w:p>
    <w:p>
      <w:pPr>
        <w:spacing w:after="100" w:before="60"/>
        <w:jc w:val="left"/>
      </w:pPr>
      <w:r>
        <w:rPr>
          <w:rFonts w:ascii="Arial" w:cs="Arial" w:eastAsia="Arial" w:hAnsi="Arial"/>
          <w:b/>
          <w:bCs/>
          <w:color w:val="0969DA"/>
          <w:sz w:val="20"/>
          <w:szCs w:val="20"/>
        </w:rPr>
        <w:t xml:space="preserve">(5) </w:t>
      </w:r>
      <w:r>
        <w:rPr>
          <w:rFonts w:ascii="Arial" w:cs="Arial" w:eastAsia="Arial" w:hAnsi="Arial"/>
          <w:color w:val="333333"/>
          <w:sz w:val="20"/>
          <w:szCs w:val="20"/>
        </w:rPr>
        <w:t xml:space="preserve">SuS </w:t>
      </w:r>
      <w:r>
        <w:rPr>
          <w:rFonts w:ascii="Arial" w:cs="Arial" w:eastAsia="Arial" w:hAnsi="Arial"/>
          <w:b/>
          <w:bCs/>
          <w:color w:val="333333"/>
          <w:sz w:val="20"/>
          <w:szCs w:val="20"/>
        </w:rPr>
        <w:t xml:space="preserve">identifizieren</w:t>
      </w:r>
      <w:r>
        <w:rPr>
          <w:rFonts w:ascii="Arial" w:cs="Arial" w:eastAsia="Arial" w:hAnsi="Arial"/>
          <w:color w:val="333333"/>
          <w:sz w:val="20"/>
          <w:szCs w:val="20"/>
        </w:rPr>
        <w:t xml:space="preserve"> potenzielle Verzerrungen (Bias), die durch Klassifikationsentscheidungen entstehen, und </w:t>
      </w:r>
      <w:r>
        <w:rPr>
          <w:rFonts w:ascii="Arial" w:cs="Arial" w:eastAsia="Arial" w:hAnsi="Arial"/>
          <w:b/>
          <w:bCs/>
          <w:color w:val="333333"/>
          <w:sz w:val="20"/>
          <w:szCs w:val="20"/>
        </w:rPr>
        <w:t xml:space="preserve">beurteilen</w:t>
      </w:r>
      <w:r>
        <w:rPr>
          <w:rFonts w:ascii="Arial" w:cs="Arial" w:eastAsia="Arial" w:hAnsi="Arial"/>
          <w:color w:val="333333"/>
          <w:sz w:val="20"/>
          <w:szCs w:val="20"/>
        </w:rPr>
        <w:t xml:space="preserve"> deren Auswirkungen auf betroffene Kundengruppen.</w:t>
      </w:r>
    </w:p>
    <w:p>
      <w:pPr>
        <w:spacing w:after="120" w:before="240"/>
      </w:pPr>
      <w:r>
        <w:rPr>
          <w:rFonts w:ascii="Arial" w:cs="Arial" w:eastAsia="Arial" w:hAnsi="Arial"/>
          <w:b/>
          <w:bCs/>
          <w:color w:val="0969DA"/>
          <w:sz w:val="24"/>
          <w:szCs w:val="24"/>
        </w:rPr>
        <w:t xml:space="preserve">4  Ablauf</w:t>
      </w:r>
    </w:p>
    <w:p>
      <w:pPr>
        <w:spacing w:after="120" w:before="240"/>
      </w:pPr>
      <w:r>
        <w:rPr>
          <w:rFonts w:ascii="Arial" w:cs="Arial" w:eastAsia="Arial" w:hAnsi="Arial"/>
          <w:b/>
          <w:bCs/>
          <w:color w:val="0969DA"/>
          <w:sz w:val="22"/>
          <w:szCs w:val="22"/>
        </w:rPr>
        <w:t xml:space="preserve">Doppelstunde 1: „Daten sortieren für die Maschine“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800"/>
        <w:gridCol w:w="7400"/>
      </w:tblGrid>
      <w:tr>
        <w:tc>
          <w:tcPr>
            <w:tcW w:type="dxa" w:w="1400"/>
            <w:tcBorders>
              <w:top w:val="single" w:color="0969DA" w:sz="1"/>
              <w:left w:val="single" w:color="0969DA" w:sz="1"/>
              <w:bottom w:val="single" w:color="0969DA" w:sz="1"/>
              <w:right w:val="single" w:color="0969DA" w:sz="1"/>
            </w:tcBorders>
            <w:shd w:fill="0969DA" w:color="auto" w:val="clear"/>
            <w:vAlign w:val="center"/>
          </w:tcPr>
          <w:p>
            <w:pPr>
              <w:spacing w:after="60" w:before="60"/>
            </w:pPr>
            <w:r>
              <w:rPr>
                <w:rFonts w:ascii="Arial" w:cs="Arial" w:eastAsia="Arial" w:hAnsi="Arial"/>
                <w:b/>
                <w:bCs/>
                <w:color w:val="FFFFFF"/>
                <w:sz w:val="20"/>
                <w:szCs w:val="20"/>
              </w:rPr>
              <w:t xml:space="preserve">Phase</w:t>
            </w:r>
          </w:p>
        </w:tc>
        <w:tc>
          <w:tcPr>
            <w:tcW w:type="dxa" w:w="800"/>
            <w:tcBorders>
              <w:top w:val="single" w:color="0969DA" w:sz="1"/>
              <w:left w:val="single" w:color="0969DA" w:sz="1"/>
              <w:bottom w:val="single" w:color="0969DA" w:sz="1"/>
              <w:right w:val="single" w:color="0969DA" w:sz="1"/>
            </w:tcBorders>
            <w:shd w:fill="0969DA" w:color="auto" w:val="clear"/>
            <w:vAlign w:val="center"/>
          </w:tcPr>
          <w:p>
            <w:pPr>
              <w:spacing w:after="60" w:before="60"/>
            </w:pPr>
            <w:r>
              <w:rPr>
                <w:rFonts w:ascii="Arial" w:cs="Arial" w:eastAsia="Arial" w:hAnsi="Arial"/>
                <w:b/>
                <w:bCs/>
                <w:color w:val="FFFFFF"/>
                <w:sz w:val="20"/>
                <w:szCs w:val="20"/>
              </w:rPr>
              <w:t xml:space="preserve">Zeit</w:t>
            </w:r>
          </w:p>
        </w:tc>
        <w:tc>
          <w:tcPr>
            <w:tcW w:type="dxa" w:w="7400"/>
            <w:tcBorders>
              <w:top w:val="single" w:color="0969DA" w:sz="1"/>
              <w:left w:val="single" w:color="0969DA" w:sz="1"/>
              <w:bottom w:val="single" w:color="0969DA" w:sz="1"/>
              <w:right w:val="single" w:color="0969DA" w:sz="1"/>
            </w:tcBorders>
            <w:shd w:fill="0969DA" w:color="auto" w:val="clear"/>
            <w:vAlign w:val="center"/>
          </w:tcPr>
          <w:p>
            <w:pPr>
              <w:spacing w:after="60" w:before="60"/>
            </w:pPr>
            <w:r>
              <w:rPr>
                <w:rFonts w:ascii="Arial" w:cs="Arial" w:eastAsia="Arial" w:hAnsi="Arial"/>
                <w:b/>
                <w:bCs/>
                <w:color w:val="FFFFFF"/>
                <w:sz w:val="20"/>
                <w:szCs w:val="20"/>
              </w:rPr>
              <w:t xml:space="preserve">Beschreibung (Aktivität, Sozialform, SuS-Handeln)</w:t>
            </w:r>
          </w:p>
        </w:tc>
      </w:tr>
      <w:tr>
        <w:tc>
          <w:tcPr>
            <w:tcW w:type="dxa" w:w="14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b/>
                <w:bCs/>
                <w:color w:val="0969DA"/>
                <w:sz w:val="19"/>
                <w:szCs w:val="19"/>
              </w:rPr>
              <w:t xml:space="preserve">Einstieg</w:t>
            </w:r>
          </w:p>
        </w:tc>
        <w:tc>
          <w:tcPr>
            <w:tcW w:type="dxa" w:w="8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color w:val="666666"/>
                <w:sz w:val="19"/>
                <w:szCs w:val="19"/>
              </w:rPr>
              <w:t xml:space="preserve">10′</w:t>
            </w:r>
          </w:p>
        </w:tc>
        <w:tc>
          <w:tcPr>
            <w:tcW w:type="dxa" w:w="74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color w:val="333333"/>
                <w:sz w:val="19"/>
                <w:szCs w:val="19"/>
              </w:rPr>
              <w:t xml:space="preserve">Lehrkraft zeigt zwei Screenshots: (1) Supportticket, an die falsche Abteilung geroutet — Kunde wartet 5 Tage. (2) Dasselbe Ticket, korrekt geroutet — Antwort nach 2 Stunden.</w:t>
            </w:r>
          </w:p>
          <w:p>
            <w:pPr>
              <w:spacing w:after="40" w:before="80"/>
            </w:pPr>
            <w:r>
              <w:rPr>
                <w:rFonts w:ascii="Arial" w:cs="Arial" w:eastAsia="Arial" w:hAnsi="Arial"/>
                <w:color w:val="333333"/>
                <w:sz w:val="19"/>
                <w:szCs w:val="19"/>
              </w:rPr>
              <w:t xml:space="preserve">Leitfrage im Plenum: „Was muss ein System können, um Tickets automatisch richtig zuzuordnen — und was braucht es dafür?“ SuS sammeln Vermutungen (3–4 Beiträge). Lehrkraft bündelt: Das System braucht Beispieldaten, die von Menschen sortiert wurden.</w:t>
            </w:r>
          </w:p>
        </w:tc>
      </w:tr>
      <w:tr>
        <w:tc>
          <w:tcPr>
            <w:tcW w:type="dxa" w:w="14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b/>
                <w:bCs/>
                <w:color w:val="0969DA"/>
                <w:sz w:val="19"/>
                <w:szCs w:val="19"/>
              </w:rPr>
              <w:t xml:space="preserve">Auftrag</w:t>
            </w:r>
          </w:p>
        </w:tc>
        <w:tc>
          <w:tcPr>
            <w:tcW w:type="dxa" w:w="8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color w:val="666666"/>
                <w:sz w:val="19"/>
                <w:szCs w:val="19"/>
              </w:rPr>
              <w:t xml:space="preserve">5′</w:t>
            </w:r>
          </w:p>
        </w:tc>
        <w:tc>
          <w:tcPr>
            <w:tcW w:type="dxa" w:w="74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color w:val="333333"/>
                <w:sz w:val="19"/>
                <w:szCs w:val="19"/>
              </w:rPr>
              <w:t xml:space="preserve">Lehrkraft stellt das Szenario vor: TechServ GmbH, 4 Abteilungen (Hardware, Software, Netzwerk, Kaufmännisches). Jede Gruppe (3–4 SuS) erhält denselben Datensatz mit 30 Supporttickets als CSV.</w:t>
            </w:r>
          </w:p>
          <w:p>
            <w:pPr>
              <w:spacing w:after="40" w:before="80"/>
            </w:pPr>
            <w:r>
              <w:rPr>
                <w:rFonts w:ascii="Arial" w:cs="Arial" w:eastAsia="Arial" w:hAnsi="Arial"/>
                <w:b/>
                <w:bCs/>
                <w:color w:val="333333"/>
                <w:sz w:val="19"/>
                <w:szCs w:val="19"/>
              </w:rPr>
              <w:t xml:space="preserve">Auftrag (AB Klassifikationsregeln):</w:t>
            </w:r>
          </w:p>
          <w:p>
            <w:pPr>
              <w:spacing w:after="40" w:before="40"/>
            </w:pPr>
            <w:r>
              <w:rPr>
                <w:rFonts w:ascii="Arial" w:cs="Arial" w:eastAsia="Arial" w:hAnsi="Arial"/>
                <w:color w:val="333333"/>
                <w:sz w:val="19"/>
                <w:szCs w:val="19"/>
              </w:rPr>
              <w:t xml:space="preserve">(1) Klassifiziert jedes Ticket in eine der vier Kategorien. (2) Schreibt eure Klassifikationsregeln auf. (3) Dokumentiert Grenzfälle.</w:t>
            </w:r>
          </w:p>
        </w:tc>
      </w:tr>
      <w:tr>
        <w:tc>
          <w:tcPr>
            <w:tcW w:type="dxa" w:w="14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b/>
                <w:bCs/>
                <w:color w:val="0969DA"/>
                <w:sz w:val="19"/>
                <w:szCs w:val="19"/>
              </w:rPr>
              <w:t xml:space="preserve">Erarbeitung I</w:t>
            </w:r>
          </w:p>
        </w:tc>
        <w:tc>
          <w:tcPr>
            <w:tcW w:type="dxa" w:w="8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color w:val="666666"/>
                <w:sz w:val="19"/>
                <w:szCs w:val="19"/>
              </w:rPr>
              <w:t xml:space="preserve">25′</w:t>
            </w:r>
          </w:p>
        </w:tc>
        <w:tc>
          <w:tcPr>
            <w:tcW w:type="dxa" w:w="74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b/>
                <w:bCs/>
                <w:color w:val="333333"/>
                <w:sz w:val="19"/>
                <w:szCs w:val="19"/>
              </w:rPr>
              <w:t xml:space="preserve">Gruppenarbeit. </w:t>
            </w:r>
          </w:p>
          <w:p>
            <w:pPr>
              <w:spacing w:after="40" w:before="40"/>
            </w:pPr>
            <w:r>
              <w:rPr>
                <w:rFonts w:ascii="Arial" w:cs="Arial" w:eastAsia="Arial" w:hAnsi="Arial"/>
                <w:color w:val="333333"/>
                <w:sz w:val="19"/>
                <w:szCs w:val="19"/>
              </w:rPr>
              <w:t xml:space="preserve">SuS öffnen die CSV in einer Tabellenkalkulation und fügen eine Spalte „Kategorie“ hinzu. Sie lesen jedes Ticket, diskutieren Grenzfälle in der Gruppe und tragen die Kategorie ein. Gleichzeitig notieren sie auf dem AB ihre Entscheidungskriterien.</w:t>
            </w:r>
          </w:p>
          <w:p>
            <w:pPr>
              <w:spacing w:after="40" w:before="80"/>
            </w:pPr>
            <w:r>
              <w:rPr>
                <w:rFonts w:ascii="Arial" w:cs="Arial" w:eastAsia="Arial" w:hAnsi="Arial"/>
                <w:b/>
                <w:bCs/>
                <w:color w:val="333333"/>
                <w:sz w:val="19"/>
                <w:szCs w:val="19"/>
              </w:rPr>
              <w:t xml:space="preserve">Eingebaute Schwierigkeiten im Datensatz:</w:t>
            </w:r>
          </w:p>
          <w:p>
            <w:pPr>
              <w:spacing w:after="40" w:before="40"/>
            </w:pPr>
            <w:r>
              <w:rPr>
                <w:rFonts w:ascii="Arial" w:cs="Arial" w:eastAsia="Arial" w:hAnsi="Arial"/>
                <w:color w:val="333333"/>
                <w:sz w:val="19"/>
                <w:szCs w:val="19"/>
              </w:rPr>
              <w:t xml:space="preserve">• 6 Tickets sind absichtlich mehrdeutig (z. B. T-019 „VPN geht nicht“ — Netzwerk oder Software?)</w:t>
            </w:r>
          </w:p>
          <w:p>
            <w:pPr>
              <w:spacing w:after="40" w:before="40"/>
            </w:pPr>
            <w:r>
              <w:rPr>
                <w:rFonts w:ascii="Arial" w:cs="Arial" w:eastAsia="Arial" w:hAnsi="Arial"/>
                <w:color w:val="333333"/>
                <w:sz w:val="19"/>
                <w:szCs w:val="19"/>
              </w:rPr>
              <w:t xml:space="preserve">• 5 Tickets enthalten personenbezogene Daten (Namen, E-Mail-Adressen, Telefonnummern)</w:t>
            </w:r>
          </w:p>
          <w:p>
            <w:pPr>
              <w:spacing w:after="40" w:before="40"/>
            </w:pPr>
            <w:r>
              <w:rPr>
                <w:rFonts w:ascii="Arial" w:cs="Arial" w:eastAsia="Arial" w:hAnsi="Arial"/>
                <w:color w:val="333333"/>
                <w:sz w:val="19"/>
                <w:szCs w:val="19"/>
              </w:rPr>
              <w:t xml:space="preserve">• 1 Ticket mit sensibler Information (T-026: Mutterschutz)</w:t>
            </w:r>
          </w:p>
          <w:p>
            <w:pPr>
              <w:spacing w:after="40" w:before="40"/>
            </w:pPr>
            <w:r>
              <w:rPr>
                <w:rFonts w:ascii="Arial" w:cs="Arial" w:eastAsia="Arial" w:hAnsi="Arial"/>
                <w:color w:val="333333"/>
                <w:sz w:val="19"/>
                <w:szCs w:val="19"/>
              </w:rPr>
              <w:t xml:space="preserve">• 2 Tickets sind auf Englisch</w:t>
            </w:r>
          </w:p>
        </w:tc>
      </w:tr>
      <w:tr>
        <w:tc>
          <w:tcPr>
            <w:tcW w:type="dxa" w:w="14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b/>
                <w:bCs/>
                <w:color w:val="0969DA"/>
                <w:sz w:val="19"/>
                <w:szCs w:val="19"/>
              </w:rPr>
              <w:t xml:space="preserve">Zwischen-
sicherung</w:t>
            </w:r>
          </w:p>
        </w:tc>
        <w:tc>
          <w:tcPr>
            <w:tcW w:type="dxa" w:w="8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color w:val="666666"/>
                <w:sz w:val="19"/>
                <w:szCs w:val="19"/>
              </w:rPr>
              <w:t xml:space="preserve">10′</w:t>
            </w:r>
          </w:p>
        </w:tc>
        <w:tc>
          <w:tcPr>
            <w:tcW w:type="dxa" w:w="74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b/>
                <w:bCs/>
                <w:color w:val="333333"/>
                <w:sz w:val="19"/>
                <w:szCs w:val="19"/>
              </w:rPr>
              <w:t xml:space="preserve">Plenum. </w:t>
            </w:r>
          </w:p>
          <w:p>
            <w:pPr>
              <w:spacing w:after="40" w:before="40"/>
            </w:pPr>
            <w:r>
              <w:rPr>
                <w:rFonts w:ascii="Arial" w:cs="Arial" w:eastAsia="Arial" w:hAnsi="Arial"/>
                <w:color w:val="333333"/>
                <w:sz w:val="19"/>
                <w:szCs w:val="19"/>
              </w:rPr>
              <w:t xml:space="preserve">Lehrkraft sammelt: „Welche Tickets waren schwierig — und warum?“ Gruppen benennen ihre Grenzfälle. Lehrkraft visualisiert an der Tafel, dass verschiedene Gruppen dasselbe Ticket unterschiedlich klassifiziert haben.</w:t>
            </w:r>
          </w:p>
          <w:p>
            <w:pPr>
              <w:spacing w:after="40" w:before="80"/>
            </w:pPr>
            <w:r>
              <w:rPr>
                <w:rFonts w:ascii="Arial" w:cs="Arial" w:eastAsia="Arial" w:hAnsi="Arial"/>
                <w:b/>
                <w:bCs/>
                <w:color w:val="0969DA"/>
                <w:sz w:val="19"/>
                <w:szCs w:val="19"/>
              </w:rPr>
              <w:t xml:space="preserve">Kernfrage: „Wenn schon wir uns nicht einig sind — was bedeutet das für ein System, das aus unseren Daten lernen soll?“</w:t>
            </w:r>
          </w:p>
        </w:tc>
      </w:tr>
      <w:tr>
        <w:tc>
          <w:tcPr>
            <w:tcW w:type="dxa" w:w="14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b/>
                <w:bCs/>
                <w:color w:val="0969DA"/>
                <w:sz w:val="19"/>
                <w:szCs w:val="19"/>
              </w:rPr>
              <w:t xml:space="preserve">Erarbeitung II</w:t>
            </w:r>
          </w:p>
        </w:tc>
        <w:tc>
          <w:tcPr>
            <w:tcW w:type="dxa" w:w="8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color w:val="666666"/>
                <w:sz w:val="19"/>
                <w:szCs w:val="19"/>
              </w:rPr>
              <w:t xml:space="preserve">15′</w:t>
            </w:r>
          </w:p>
        </w:tc>
        <w:tc>
          <w:tcPr>
            <w:tcW w:type="dxa" w:w="74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b/>
                <w:bCs/>
                <w:color w:val="333333"/>
                <w:sz w:val="19"/>
                <w:szCs w:val="19"/>
              </w:rPr>
              <w:t xml:space="preserve">Partnerarbeit. </w:t>
            </w:r>
          </w:p>
          <w:p>
            <w:pPr>
              <w:spacing w:after="40" w:before="40"/>
            </w:pPr>
            <w:r>
              <w:rPr>
                <w:rFonts w:ascii="Arial" w:cs="Arial" w:eastAsia="Arial" w:hAnsi="Arial"/>
                <w:color w:val="333333"/>
                <w:sz w:val="19"/>
                <w:szCs w:val="19"/>
              </w:rPr>
              <w:t xml:space="preserve">SuS gehen ihren klassifizierten Datensatz nochmals durch (AB Teil C). Auftrag: „Markiere alle personenbezogenen Daten. Entwickle eine Regel, wie ihr sie anonymisiert, ohne dass das Ticket für die Klassifikation unbrauchbar wird.“</w:t>
            </w:r>
          </w:p>
          <w:p>
            <w:pPr>
              <w:spacing w:after="40" w:before="80"/>
            </w:pPr>
            <w:r>
              <w:rPr>
                <w:rFonts w:ascii="Arial" w:cs="Arial" w:eastAsia="Arial" w:hAnsi="Arial"/>
                <w:b/>
                <w:bCs/>
                <w:color w:val="333333"/>
                <w:sz w:val="19"/>
                <w:szCs w:val="19"/>
              </w:rPr>
              <w:t xml:space="preserve">Ethikfrage (eingebaut, nicht angehängt): </w:t>
            </w:r>
          </w:p>
          <w:p>
            <w:pPr>
              <w:spacing w:after="40" w:before="40"/>
            </w:pPr>
            <w:r>
              <w:rPr>
                <w:rFonts w:ascii="Arial" w:cs="Arial" w:eastAsia="Arial" w:hAnsi="Arial"/>
                <w:i/>
                <w:iCs/>
                <w:color w:val="333333"/>
                <w:sz w:val="19"/>
                <w:szCs w:val="19"/>
              </w:rPr>
              <w:t xml:space="preserve">Ticket T-029 enthält den Hinweis, dass der Nutzer sehbehindert ist. Darf/soll man das anonymisieren? Was geht verloren, wenn man es tut — und was ist das Risiko, wenn man es nicht tut?</w:t>
            </w:r>
          </w:p>
        </w:tc>
      </w:tr>
      <w:tr>
        <w:tc>
          <w:tcPr>
            <w:tcW w:type="dxa" w:w="14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b/>
                <w:bCs/>
                <w:color w:val="0969DA"/>
                <w:sz w:val="19"/>
                <w:szCs w:val="19"/>
              </w:rPr>
              <w:t xml:space="preserve">Sicherung</w:t>
            </w:r>
          </w:p>
        </w:tc>
        <w:tc>
          <w:tcPr>
            <w:tcW w:type="dxa" w:w="8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color w:val="666666"/>
                <w:sz w:val="19"/>
                <w:szCs w:val="19"/>
              </w:rPr>
              <w:t xml:space="preserve">15′</w:t>
            </w:r>
          </w:p>
        </w:tc>
        <w:tc>
          <w:tcPr>
            <w:tcW w:type="dxa" w:w="74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b/>
                <w:bCs/>
                <w:color w:val="333333"/>
                <w:sz w:val="19"/>
                <w:szCs w:val="19"/>
              </w:rPr>
              <w:t xml:space="preserve">Plenum. </w:t>
            </w:r>
          </w:p>
          <w:p>
            <w:pPr>
              <w:spacing w:after="40" w:before="40"/>
            </w:pPr>
            <w:r>
              <w:rPr>
                <w:rFonts w:ascii="Arial" w:cs="Arial" w:eastAsia="Arial" w:hAnsi="Arial"/>
                <w:color w:val="333333"/>
                <w:sz w:val="19"/>
                <w:szCs w:val="19"/>
              </w:rPr>
              <w:t xml:space="preserve">Zwei Gruppen stellen ihre Klassifikationsregeln vor (je 3 Min.). Klasse vergleicht: Wo sind die Regeln konsistent, wo widersprechen sie sich?</w:t>
            </w:r>
          </w:p>
          <w:p>
            <w:pPr>
              <w:spacing w:after="40" w:before="80"/>
            </w:pPr>
            <w:r>
              <w:rPr>
                <w:rFonts w:ascii="Arial" w:cs="Arial" w:eastAsia="Arial" w:hAnsi="Arial"/>
                <w:b/>
                <w:bCs/>
                <w:color w:val="333333"/>
                <w:sz w:val="19"/>
                <w:szCs w:val="19"/>
              </w:rPr>
              <w:t xml:space="preserve">Lehrkraft sichert: </w:t>
            </w:r>
          </w:p>
          <w:p>
            <w:pPr>
              <w:spacing w:after="40" w:before="40"/>
            </w:pPr>
            <w:r>
              <w:rPr>
                <w:rFonts w:ascii="Arial" w:cs="Arial" w:eastAsia="Arial" w:hAnsi="Arial"/>
                <w:color w:val="333333"/>
                <w:sz w:val="19"/>
                <w:szCs w:val="19"/>
              </w:rPr>
              <w:t xml:space="preserve">Klassifikationsregeln sind das Äquivalent eines Datenmodells — sie müssen explizit, vollständig und konsistent sein.</w:t>
            </w:r>
          </w:p>
          <w:p>
            <w:pPr>
              <w:spacing w:after="40" w:before="80"/>
            </w:pPr>
            <w:r>
              <w:rPr>
                <w:rFonts w:ascii="Arial" w:cs="Arial" w:eastAsia="Arial" w:hAnsi="Arial"/>
                <w:b/>
                <w:bCs/>
                <w:color w:val="555555"/>
                <w:sz w:val="19"/>
                <w:szCs w:val="19"/>
              </w:rPr>
              <w:t xml:space="preserve">Ergebnis: Jede Gruppe hat einen klassifizierten, (teil-)anonymisierten Datensatz und ein dokumentiertes Regelwerk.</w:t>
            </w:r>
          </w:p>
        </w:tc>
      </w:tr>
      <w:tr>
        <w:tc>
          <w:tcPr>
            <w:tcW w:type="dxa" w:w="14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b/>
                <w:bCs/>
                <w:color w:val="0969DA"/>
                <w:sz w:val="19"/>
                <w:szCs w:val="19"/>
              </w:rPr>
              <w:t xml:space="preserve">Ausblick</w:t>
            </w:r>
          </w:p>
        </w:tc>
        <w:tc>
          <w:tcPr>
            <w:tcW w:type="dxa" w:w="8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color w:val="666666"/>
                <w:sz w:val="19"/>
                <w:szCs w:val="19"/>
              </w:rPr>
              <w:t xml:space="preserve">10′</w:t>
            </w:r>
          </w:p>
        </w:tc>
        <w:tc>
          <w:tcPr>
            <w:tcW w:type="dxa" w:w="74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color w:val="333333"/>
                <w:sz w:val="19"/>
                <w:szCs w:val="19"/>
              </w:rPr>
              <w:t xml:space="preserve">Lehrkraft kündigt an: „Nächste Stunde füttern wir eure Datensätze in ein ML-System. Wir werden sehen, welche Gruppe die besten Trainingsdaten produziert hat.“</w:t>
            </w:r>
          </w:p>
          <w:p>
            <w:pPr>
              <w:spacing w:after="40" w:before="80"/>
            </w:pPr>
            <w:r>
              <w:rPr>
                <w:rFonts w:ascii="Arial" w:cs="Arial" w:eastAsia="Arial" w:hAnsi="Arial"/>
                <w:color w:val="333333"/>
                <w:sz w:val="19"/>
                <w:szCs w:val="19"/>
              </w:rPr>
              <w:t xml:space="preserve">Vorbereitungsauftrag: Gruppen finalisieren ihre CSV (konsistente Spaltenbenennung, keine Leerzeilen).</w:t>
            </w:r>
          </w:p>
        </w:tc>
      </w:tr>
    </w:tbl>
    <w:p>
      <w:r>
        <w:br/>
        <w:t xml:space="preserve"/>
      </w:r>
    </w:p>
    <w:p>
      <w:pPr>
        <w:spacing w:after="120" w:before="240"/>
      </w:pPr>
      <w:r>
        <w:rPr>
          <w:rFonts w:ascii="Arial" w:cs="Arial" w:eastAsia="Arial" w:hAnsi="Arial"/>
          <w:b/>
          <w:bCs/>
          <w:color w:val="0969DA"/>
          <w:sz w:val="22"/>
          <w:szCs w:val="22"/>
        </w:rPr>
        <w:t xml:space="preserve">Doppelstunde 2: „Garbage In, Garbage Out — live“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800"/>
        <w:gridCol w:w="7400"/>
      </w:tblGrid>
      <w:tr>
        <w:tc>
          <w:tcPr>
            <w:tcW w:type="dxa" w:w="1400"/>
            <w:tcBorders>
              <w:top w:val="single" w:color="0969DA" w:sz="1"/>
              <w:left w:val="single" w:color="0969DA" w:sz="1"/>
              <w:bottom w:val="single" w:color="0969DA" w:sz="1"/>
              <w:right w:val="single" w:color="0969DA" w:sz="1"/>
            </w:tcBorders>
            <w:shd w:fill="0969DA" w:color="auto" w:val="clear"/>
            <w:vAlign w:val="center"/>
          </w:tcPr>
          <w:p>
            <w:pPr>
              <w:spacing w:after="60" w:before="60"/>
            </w:pPr>
            <w:r>
              <w:rPr>
                <w:rFonts w:ascii="Arial" w:cs="Arial" w:eastAsia="Arial" w:hAnsi="Arial"/>
                <w:b/>
                <w:bCs/>
                <w:color w:val="FFFFFF"/>
                <w:sz w:val="20"/>
                <w:szCs w:val="20"/>
              </w:rPr>
              <w:t xml:space="preserve">Phase</w:t>
            </w:r>
          </w:p>
        </w:tc>
        <w:tc>
          <w:tcPr>
            <w:tcW w:type="dxa" w:w="800"/>
            <w:tcBorders>
              <w:top w:val="single" w:color="0969DA" w:sz="1"/>
              <w:left w:val="single" w:color="0969DA" w:sz="1"/>
              <w:bottom w:val="single" w:color="0969DA" w:sz="1"/>
              <w:right w:val="single" w:color="0969DA" w:sz="1"/>
            </w:tcBorders>
            <w:shd w:fill="0969DA" w:color="auto" w:val="clear"/>
            <w:vAlign w:val="center"/>
          </w:tcPr>
          <w:p>
            <w:pPr>
              <w:spacing w:after="60" w:before="60"/>
            </w:pPr>
            <w:r>
              <w:rPr>
                <w:rFonts w:ascii="Arial" w:cs="Arial" w:eastAsia="Arial" w:hAnsi="Arial"/>
                <w:b/>
                <w:bCs/>
                <w:color w:val="FFFFFF"/>
                <w:sz w:val="20"/>
                <w:szCs w:val="20"/>
              </w:rPr>
              <w:t xml:space="preserve">Zeit</w:t>
            </w:r>
          </w:p>
        </w:tc>
        <w:tc>
          <w:tcPr>
            <w:tcW w:type="dxa" w:w="7400"/>
            <w:tcBorders>
              <w:top w:val="single" w:color="0969DA" w:sz="1"/>
              <w:left w:val="single" w:color="0969DA" w:sz="1"/>
              <w:bottom w:val="single" w:color="0969DA" w:sz="1"/>
              <w:right w:val="single" w:color="0969DA" w:sz="1"/>
            </w:tcBorders>
            <w:shd w:fill="0969DA" w:color="auto" w:val="clear"/>
            <w:vAlign w:val="center"/>
          </w:tcPr>
          <w:p>
            <w:pPr>
              <w:spacing w:after="60" w:before="60"/>
            </w:pPr>
            <w:r>
              <w:rPr>
                <w:rFonts w:ascii="Arial" w:cs="Arial" w:eastAsia="Arial" w:hAnsi="Arial"/>
                <w:b/>
                <w:bCs/>
                <w:color w:val="FFFFFF"/>
                <w:sz w:val="20"/>
                <w:szCs w:val="20"/>
              </w:rPr>
              <w:t xml:space="preserve">Beschreibung (Aktivität, Sozialform, SuS-Handeln)</w:t>
            </w:r>
          </w:p>
        </w:tc>
      </w:tr>
      <w:tr>
        <w:tc>
          <w:tcPr>
            <w:tcW w:type="dxa" w:w="14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b/>
                <w:bCs/>
                <w:color w:val="0969DA"/>
                <w:sz w:val="19"/>
                <w:szCs w:val="19"/>
              </w:rPr>
              <w:t xml:space="preserve">Einstieg</w:t>
            </w:r>
          </w:p>
        </w:tc>
        <w:tc>
          <w:tcPr>
            <w:tcW w:type="dxa" w:w="8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color w:val="666666"/>
                <w:sz w:val="19"/>
                <w:szCs w:val="19"/>
              </w:rPr>
              <w:t xml:space="preserve">5′</w:t>
            </w:r>
          </w:p>
        </w:tc>
        <w:tc>
          <w:tcPr>
            <w:tcW w:type="dxa" w:w="74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color w:val="333333"/>
                <w:sz w:val="19"/>
                <w:szCs w:val="19"/>
              </w:rPr>
              <w:t xml:space="preserve">Lehrkraft zeigt den Satz „Garbage in, garbage out“ und fragt: „Was glaubt ihr, wie groß der Unterschied zwischen euren Gruppen sein wird?“</w:t>
            </w:r>
          </w:p>
          <w:p>
            <w:pPr>
              <w:spacing w:after="40" w:before="80"/>
            </w:pPr>
            <w:r>
              <w:rPr>
                <w:rFonts w:ascii="Arial" w:cs="Arial" w:eastAsia="Arial" w:hAnsi="Arial"/>
                <w:color w:val="333333"/>
                <w:sz w:val="19"/>
                <w:szCs w:val="19"/>
              </w:rPr>
              <w:t xml:space="preserve">Kurze Handabstimmung: „Wird kaum einen Unterschied machen“ vs. „Wird deutlich sichtbar sein“.</w:t>
            </w:r>
          </w:p>
        </w:tc>
      </w:tr>
      <w:tr>
        <w:tc>
          <w:tcPr>
            <w:tcW w:type="dxa" w:w="14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b/>
                <w:bCs/>
                <w:color w:val="0969DA"/>
                <w:sz w:val="19"/>
                <w:szCs w:val="19"/>
              </w:rPr>
              <w:t xml:space="preserve">Erarbeitung I</w:t>
            </w:r>
          </w:p>
        </w:tc>
        <w:tc>
          <w:tcPr>
            <w:tcW w:type="dxa" w:w="8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color w:val="666666"/>
                <w:sz w:val="19"/>
                <w:szCs w:val="19"/>
              </w:rPr>
              <w:t xml:space="preserve">25′</w:t>
            </w:r>
          </w:p>
        </w:tc>
        <w:tc>
          <w:tcPr>
            <w:tcW w:type="dxa" w:w="74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b/>
                <w:bCs/>
                <w:color w:val="333333"/>
                <w:sz w:val="19"/>
                <w:szCs w:val="19"/>
              </w:rPr>
              <w:t xml:space="preserve">Gruppenarbeit. </w:t>
            </w:r>
          </w:p>
          <w:p>
            <w:pPr>
              <w:spacing w:after="40" w:before="40"/>
            </w:pPr>
            <w:r>
              <w:rPr>
                <w:rFonts w:ascii="Arial" w:cs="Arial" w:eastAsia="Arial" w:hAnsi="Arial"/>
                <w:color w:val="333333"/>
                <w:sz w:val="19"/>
                <w:szCs w:val="19"/>
              </w:rPr>
              <w:t xml:space="preserve">Jede Gruppe lädt ihren klassifizierten Datensatz in das ML-Tool (vorbereitetes Gradio-Interface mit einfachem Textklassifikator).</w:t>
            </w:r>
          </w:p>
          <w:p>
            <w:pPr>
              <w:spacing w:after="40" w:before="80"/>
            </w:pPr>
            <w:r>
              <w:rPr>
                <w:rFonts w:ascii="Arial" w:cs="Arial" w:eastAsia="Arial" w:hAnsi="Arial"/>
                <w:b/>
                <w:bCs/>
                <w:color w:val="333333"/>
                <w:sz w:val="19"/>
                <w:szCs w:val="19"/>
              </w:rPr>
              <w:t xml:space="preserve">Konkretes SuS-Handeln (AB Qualitätsraster, Teil A):</w:t>
            </w:r>
          </w:p>
          <w:p>
            <w:pPr>
              <w:spacing w:after="40" w:before="40"/>
            </w:pPr>
            <w:r>
              <w:rPr>
                <w:rFonts w:ascii="Arial" w:cs="Arial" w:eastAsia="Arial" w:hAnsi="Arial"/>
                <w:color w:val="333333"/>
                <w:sz w:val="19"/>
                <w:szCs w:val="19"/>
              </w:rPr>
              <w:t xml:space="preserve">Daten hochladen → Training starten → 10 Testtickets eingeben → Vorhersage und Konfidenz notieren → mit der „richtigen“ Kategorie (Lehrkraft-Lösung) vergleichen → Accuracy berechnen (korrekte / 10).</w:t>
            </w:r>
          </w:p>
        </w:tc>
      </w:tr>
      <w:tr>
        <w:tc>
          <w:tcPr>
            <w:tcW w:type="dxa" w:w="14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b/>
                <w:bCs/>
                <w:color w:val="0969DA"/>
                <w:sz w:val="19"/>
                <w:szCs w:val="19"/>
              </w:rPr>
              <w:t xml:space="preserve">Vergleich</w:t>
            </w:r>
          </w:p>
        </w:tc>
        <w:tc>
          <w:tcPr>
            <w:tcW w:type="dxa" w:w="8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color w:val="666666"/>
                <w:sz w:val="19"/>
                <w:szCs w:val="19"/>
              </w:rPr>
              <w:t xml:space="preserve">15′</w:t>
            </w:r>
          </w:p>
        </w:tc>
        <w:tc>
          <w:tcPr>
            <w:tcW w:type="dxa" w:w="74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b/>
                <w:bCs/>
                <w:color w:val="333333"/>
                <w:sz w:val="19"/>
                <w:szCs w:val="19"/>
              </w:rPr>
              <w:t xml:space="preserve">Plenum. </w:t>
            </w:r>
          </w:p>
          <w:p>
            <w:pPr>
              <w:spacing w:after="40" w:before="40"/>
            </w:pPr>
            <w:r>
              <w:rPr>
                <w:rFonts w:ascii="Arial" w:cs="Arial" w:eastAsia="Arial" w:hAnsi="Arial"/>
                <w:color w:val="333333"/>
                <w:sz w:val="19"/>
                <w:szCs w:val="19"/>
              </w:rPr>
              <w:t xml:space="preserve">Gruppen schreiben ihre Accuracy an die Tafel. Lehrkraft moderiert: „Gruppe A hat 8/10, Gruppe C hat 5/10 — was könnte den Unterschied erklären?“</w:t>
            </w:r>
          </w:p>
          <w:p>
            <w:pPr>
              <w:spacing w:after="40" w:before="80"/>
            </w:pPr>
            <w:r>
              <w:rPr>
                <w:rFonts w:ascii="Arial" w:cs="Arial" w:eastAsia="Arial" w:hAnsi="Arial"/>
                <w:color w:val="333333"/>
                <w:sz w:val="19"/>
                <w:szCs w:val="19"/>
              </w:rPr>
              <w:t xml:space="preserve">SuS vergleichen ihre Klassifikationsregeln und identifizieren Ursachen: inkonsistente Labels, zu wenige Beispiele pro Kategorie, mehrdeutige Grenzfälle.</w:t>
            </w:r>
          </w:p>
          <w:p>
            <w:pPr>
              <w:spacing w:after="40" w:before="80"/>
            </w:pPr>
            <w:r>
              <w:rPr>
                <w:rFonts w:ascii="Arial" w:cs="Arial" w:eastAsia="Arial" w:hAnsi="Arial"/>
                <w:b/>
                <w:bCs/>
                <w:color w:val="333333"/>
                <w:sz w:val="19"/>
                <w:szCs w:val="19"/>
              </w:rPr>
              <w:t xml:space="preserve">Lehrkraft sichert drei Prinzipien:</w:t>
            </w:r>
          </w:p>
          <w:p>
            <w:pPr>
              <w:spacing w:after="40" w:before="40"/>
            </w:pPr>
            <w:r>
              <w:rPr>
                <w:rFonts w:ascii="Arial" w:cs="Arial" w:eastAsia="Arial" w:hAnsi="Arial"/>
                <w:color w:val="333333"/>
                <w:sz w:val="19"/>
                <w:szCs w:val="19"/>
              </w:rPr>
              <w:t xml:space="preserve">(1) Konsistenz der Labels bestimmt die Modellqualität.</w:t>
            </w:r>
          </w:p>
          <w:p>
            <w:pPr>
              <w:spacing w:after="40" w:before="40"/>
            </w:pPr>
            <w:r>
              <w:rPr>
                <w:rFonts w:ascii="Arial" w:cs="Arial" w:eastAsia="Arial" w:hAnsi="Arial"/>
                <w:color w:val="333333"/>
                <w:sz w:val="19"/>
                <w:szCs w:val="19"/>
              </w:rPr>
              <w:t xml:space="preserve">(2) Grenzfälle müssen vorab entschieden werden — das Modell kann Mehrdeutigkeit nicht auflösen, die die Menschen nicht aufgelöst haben.</w:t>
            </w:r>
          </w:p>
          <w:p>
            <w:pPr>
              <w:spacing w:after="40" w:before="40"/>
            </w:pPr>
            <w:r>
              <w:rPr>
                <w:rFonts w:ascii="Arial" w:cs="Arial" w:eastAsia="Arial" w:hAnsi="Arial"/>
                <w:color w:val="333333"/>
                <w:sz w:val="19"/>
                <w:szCs w:val="19"/>
              </w:rPr>
              <w:t xml:space="preserve">(3) Die Kategorien selbst sind eine Designentscheidung, keine Naturtatsache.</w:t>
            </w:r>
          </w:p>
        </w:tc>
      </w:tr>
      <w:tr>
        <w:tc>
          <w:tcPr>
            <w:tcW w:type="dxa" w:w="14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b/>
                <w:bCs/>
                <w:color w:val="0969DA"/>
                <w:sz w:val="19"/>
                <w:szCs w:val="19"/>
              </w:rPr>
              <w:t xml:space="preserve">Erarbeitung II</w:t>
            </w:r>
          </w:p>
        </w:tc>
        <w:tc>
          <w:tcPr>
            <w:tcW w:type="dxa" w:w="8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color w:val="666666"/>
                <w:sz w:val="19"/>
                <w:szCs w:val="19"/>
              </w:rPr>
              <w:t xml:space="preserve">20′</w:t>
            </w:r>
          </w:p>
        </w:tc>
        <w:tc>
          <w:tcPr>
            <w:tcW w:type="dxa" w:w="74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b/>
                <w:bCs/>
                <w:color w:val="333333"/>
                <w:sz w:val="19"/>
                <w:szCs w:val="19"/>
              </w:rPr>
              <w:t xml:space="preserve">Partnerarbeit. </w:t>
            </w:r>
          </w:p>
          <w:p>
            <w:pPr>
              <w:spacing w:after="40" w:before="40"/>
            </w:pPr>
            <w:r>
              <w:rPr>
                <w:rFonts w:ascii="Arial" w:cs="Arial" w:eastAsia="Arial" w:hAnsi="Arial"/>
                <w:color w:val="333333"/>
                <w:sz w:val="19"/>
                <w:szCs w:val="19"/>
              </w:rPr>
              <w:t xml:space="preserve">SuS bearbeiten AB Qualitätsraster, Teil B + C:</w:t>
            </w:r>
          </w:p>
          <w:p>
            <w:pPr>
              <w:spacing w:after="40" w:before="80"/>
            </w:pPr>
            <w:r>
              <w:rPr>
                <w:rFonts w:ascii="Arial" w:cs="Arial" w:eastAsia="Arial" w:hAnsi="Arial"/>
                <w:b/>
                <w:bCs/>
                <w:color w:val="333333"/>
                <w:sz w:val="19"/>
                <w:szCs w:val="19"/>
              </w:rPr>
              <w:t xml:space="preserve">Teil B — Fehleranalyse: </w:t>
            </w:r>
          </w:p>
          <w:p>
            <w:pPr>
              <w:spacing w:after="40" w:before="40"/>
            </w:pPr>
            <w:r>
              <w:rPr>
                <w:rFonts w:ascii="Arial" w:cs="Arial" w:eastAsia="Arial" w:hAnsi="Arial"/>
                <w:color w:val="333333"/>
                <w:sz w:val="19"/>
                <w:szCs w:val="19"/>
              </w:rPr>
              <w:t xml:space="preserve">Welche Kategorie wird besonders oft falsch vorhergesagt? Wohin werden Tickets fehlgeleitet? Was ist die mögliche Ursache?</w:t>
            </w:r>
          </w:p>
          <w:p>
            <w:pPr>
              <w:spacing w:after="40" w:before="80"/>
            </w:pPr>
            <w:r>
              <w:rPr>
                <w:rFonts w:ascii="Arial" w:cs="Arial" w:eastAsia="Arial" w:hAnsi="Arial"/>
                <w:b/>
                <w:bCs/>
                <w:color w:val="333333"/>
                <w:sz w:val="19"/>
                <w:szCs w:val="19"/>
              </w:rPr>
              <w:t xml:space="preserve">Teil C — Bias-Prüffragen:</w:t>
            </w:r>
          </w:p>
          <w:p>
            <w:pPr>
              <w:spacing w:after="40" w:before="40"/>
            </w:pPr>
            <w:r>
              <w:rPr>
                <w:rFonts w:ascii="Arial" w:cs="Arial" w:eastAsia="Arial" w:hAnsi="Arial"/>
                <w:color w:val="333333"/>
                <w:sz w:val="19"/>
                <w:szCs w:val="19"/>
              </w:rPr>
              <w:t xml:space="preserve">(a) Systematische Fehlerkategorien identifizieren.</w:t>
            </w:r>
          </w:p>
          <w:p>
            <w:pPr>
              <w:spacing w:after="40" w:before="40"/>
            </w:pPr>
            <w:r>
              <w:rPr>
                <w:rFonts w:ascii="Arial" w:cs="Arial" w:eastAsia="Arial" w:hAnsi="Arial"/>
                <w:color w:val="333333"/>
                <w:sz w:val="19"/>
                <w:szCs w:val="19"/>
              </w:rPr>
              <w:t xml:space="preserve">(b) Konsequenzen für betroffene Kund:innen benennen: Wessen Tickets werden systematisch falsch geroutet — wer wartet länger auf Hilfe?</w:t>
            </w:r>
          </w:p>
          <w:p>
            <w:pPr>
              <w:spacing w:after="40" w:before="40"/>
            </w:pPr>
            <w:r>
              <w:rPr>
                <w:rFonts w:ascii="Arial" w:cs="Arial" w:eastAsia="Arial" w:hAnsi="Arial"/>
                <w:color w:val="333333"/>
                <w:sz w:val="19"/>
                <w:szCs w:val="19"/>
              </w:rPr>
              <w:t xml:space="preserve">(c) Screenreader-Ticket T-029: In welche Kategorie hat das Modell es eingeordnet? Ist das richtig — und für wen?</w:t>
            </w:r>
          </w:p>
        </w:tc>
      </w:tr>
      <w:tr>
        <w:tc>
          <w:tcPr>
            <w:tcW w:type="dxa" w:w="14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b/>
                <w:bCs/>
                <w:color w:val="0969DA"/>
                <w:sz w:val="19"/>
                <w:szCs w:val="19"/>
              </w:rPr>
              <w:t xml:space="preserve">Sicherung
&amp; Transfer</w:t>
            </w:r>
          </w:p>
        </w:tc>
        <w:tc>
          <w:tcPr>
            <w:tcW w:type="dxa" w:w="8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color w:val="666666"/>
                <w:sz w:val="19"/>
                <w:szCs w:val="19"/>
              </w:rPr>
              <w:t xml:space="preserve">15′</w:t>
            </w:r>
          </w:p>
        </w:tc>
        <w:tc>
          <w:tcPr>
            <w:tcW w:type="dxa" w:w="74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b/>
                <w:bCs/>
                <w:color w:val="333333"/>
                <w:sz w:val="19"/>
                <w:szCs w:val="19"/>
              </w:rPr>
              <w:t xml:space="preserve">Plenum. </w:t>
            </w:r>
          </w:p>
          <w:p>
            <w:pPr>
              <w:spacing w:after="40" w:before="40"/>
            </w:pPr>
            <w:r>
              <w:rPr>
                <w:rFonts w:ascii="Arial" w:cs="Arial" w:eastAsia="Arial" w:hAnsi="Arial"/>
                <w:color w:val="333333"/>
                <w:sz w:val="19"/>
                <w:szCs w:val="19"/>
              </w:rPr>
              <w:t xml:space="preserve">Gemeinsame Erarbeitung einer Checkliste Datenqualität (5–7 Punkte) als Klassenprodukt. SuS formulieren die Punkte, Lehrkraft moderiert und ergänzt bei Bedarf.</w:t>
            </w:r>
          </w:p>
          <w:p>
            <w:pPr>
              <w:spacing w:after="40" w:before="80"/>
            </w:pPr>
            <w:r>
              <w:rPr>
                <w:rFonts w:ascii="Arial" w:cs="Arial" w:eastAsia="Arial" w:hAnsi="Arial"/>
                <w:b/>
                <w:bCs/>
                <w:color w:val="0969DA"/>
                <w:sz w:val="19"/>
                <w:szCs w:val="19"/>
              </w:rPr>
              <w:t xml:space="preserve">Rückbindung an LF5: </w:t>
            </w:r>
          </w:p>
          <w:p>
            <w:pPr>
              <w:spacing w:after="40" w:before="40"/>
            </w:pPr>
            <w:r>
              <w:rPr>
                <w:rFonts w:ascii="Arial" w:cs="Arial" w:eastAsia="Arial" w:hAnsi="Arial"/>
                <w:color w:val="333333"/>
                <w:sz w:val="19"/>
                <w:szCs w:val="19"/>
              </w:rPr>
              <w:t xml:space="preserve">Lehrkraft macht explizit, dass die erarbeiteten Prinzipien (Konsistenz, Vollständigkeit, Dokumentation, Datenschutz, Testfälle) genau die Anforderungen sind, die auch für jede andere Datenanpassung in der Softwareentwicklung gelten — nicht nur für ML.</w:t>
            </w:r>
          </w:p>
        </w:tc>
      </w:tr>
      <w:tr>
        <w:tc>
          <w:tcPr>
            <w:tcW w:type="dxa" w:w="14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b/>
                <w:bCs/>
                <w:color w:val="0969DA"/>
                <w:sz w:val="19"/>
                <w:szCs w:val="19"/>
              </w:rPr>
              <w:t xml:space="preserve">Reflexion</w:t>
            </w:r>
          </w:p>
        </w:tc>
        <w:tc>
          <w:tcPr>
            <w:tcW w:type="dxa" w:w="8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color w:val="666666"/>
                <w:sz w:val="19"/>
                <w:szCs w:val="19"/>
              </w:rPr>
              <w:t xml:space="preserve">10′</w:t>
            </w:r>
          </w:p>
        </w:tc>
        <w:tc>
          <w:tcPr>
            <w:tcW w:type="dxa" w:w="74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b/>
                <w:bCs/>
                <w:color w:val="333333"/>
                <w:sz w:val="19"/>
                <w:szCs w:val="19"/>
              </w:rPr>
              <w:t xml:space="preserve">Einzelarbeit (5 Min.): </w:t>
            </w:r>
          </w:p>
          <w:p>
            <w:pPr>
              <w:spacing w:after="40" w:before="40"/>
            </w:pPr>
            <w:r>
              <w:rPr>
                <w:rFonts w:ascii="Arial" w:cs="Arial" w:eastAsia="Arial" w:hAnsi="Arial"/>
                <w:color w:val="333333"/>
                <w:sz w:val="19"/>
                <w:szCs w:val="19"/>
              </w:rPr>
              <w:t xml:space="preserve">SuS schreiben auf dem AB eine Kurzreflexion (3–5 Sätze): „Was war die wichtigste Erkenntnis für mich — und was würde ich beim nächsten Mal anders machen, wenn ich Daten für ein automatisches System aufbereite?“</w:t>
            </w:r>
          </w:p>
          <w:p>
            <w:pPr>
              <w:spacing w:after="40" w:before="80"/>
            </w:pPr>
            <w:r>
              <w:rPr>
                <w:rFonts w:ascii="Arial" w:cs="Arial" w:eastAsia="Arial" w:hAnsi="Arial"/>
                <w:b/>
                <w:bCs/>
                <w:color w:val="333333"/>
                <w:sz w:val="19"/>
                <w:szCs w:val="19"/>
              </w:rPr>
              <w:t xml:space="preserve">Plenum (5 Min.): </w:t>
            </w:r>
          </w:p>
          <w:p>
            <w:pPr>
              <w:spacing w:after="40" w:before="40"/>
            </w:pPr>
            <w:r>
              <w:rPr>
                <w:rFonts w:ascii="Arial" w:cs="Arial" w:eastAsia="Arial" w:hAnsi="Arial"/>
                <w:color w:val="333333"/>
                <w:sz w:val="19"/>
                <w:szCs w:val="19"/>
              </w:rPr>
              <w:t xml:space="preserve">3–4 SuS teilen ihre Reflexion.</w:t>
            </w:r>
          </w:p>
        </w:tc>
      </w:tr>
    </w:tbl>
    <w:p>
      <w:pPr>
        <w:spacing w:after="120" w:before="240"/>
      </w:pPr>
      <w:r>
        <w:rPr>
          <w:rFonts w:ascii="Arial" w:cs="Arial" w:eastAsia="Arial" w:hAnsi="Arial"/>
          <w:b/>
          <w:bCs/>
          <w:color w:val="0969DA"/>
          <w:sz w:val="24"/>
          <w:szCs w:val="24"/>
        </w:rPr>
        <w:t xml:space="preserve">5  Erwartbare Schüler:innen-Produkte</w:t>
      </w:r>
    </w:p>
    <w:p>
      <w:pPr>
        <w:spacing w:after="60" w:before="60"/>
        <w:jc w:val="left"/>
      </w:pPr>
      <w:r>
        <w:rPr>
          <w:rFonts w:ascii="Arial" w:cs="Arial" w:eastAsia="Arial" w:hAnsi="Arial"/>
          <w:b/>
          <w:bCs/>
          <w:color w:val="0969DA"/>
          <w:sz w:val="20"/>
          <w:szCs w:val="20"/>
        </w:rPr>
        <w:t xml:space="preserve">(1) </w:t>
      </w:r>
      <w:r>
        <w:rPr>
          <w:rFonts w:ascii="Arial" w:cs="Arial" w:eastAsia="Arial" w:hAnsi="Arial"/>
          <w:color w:val="333333"/>
          <w:sz w:val="20"/>
          <w:szCs w:val="20"/>
        </w:rPr>
        <w:t xml:space="preserve">Klassifizierter Datensatz (CSV mit Kategorie-Spalte) — pro Gruppe</w:t>
      </w:r>
    </w:p>
    <w:p>
      <w:pPr>
        <w:spacing w:after="60" w:before="60"/>
        <w:jc w:val="left"/>
      </w:pPr>
      <w:r>
        <w:rPr>
          <w:rFonts w:ascii="Arial" w:cs="Arial" w:eastAsia="Arial" w:hAnsi="Arial"/>
          <w:b/>
          <w:bCs/>
          <w:color w:val="0969DA"/>
          <w:sz w:val="20"/>
          <w:szCs w:val="20"/>
        </w:rPr>
        <w:t xml:space="preserve">(2) </w:t>
      </w:r>
      <w:r>
        <w:rPr>
          <w:rFonts w:ascii="Arial" w:cs="Arial" w:eastAsia="Arial" w:hAnsi="Arial"/>
          <w:color w:val="333333"/>
          <w:sz w:val="20"/>
          <w:szCs w:val="20"/>
        </w:rPr>
        <w:t xml:space="preserve">Dokumentierte Klassifikationsregeln (AB Teil A) — pro Gruppe</w:t>
      </w:r>
    </w:p>
    <w:p>
      <w:pPr>
        <w:spacing w:after="60" w:before="60"/>
        <w:jc w:val="left"/>
      </w:pPr>
      <w:r>
        <w:rPr>
          <w:rFonts w:ascii="Arial" w:cs="Arial" w:eastAsia="Arial" w:hAnsi="Arial"/>
          <w:b/>
          <w:bCs/>
          <w:color w:val="0969DA"/>
          <w:sz w:val="20"/>
          <w:szCs w:val="20"/>
        </w:rPr>
        <w:t xml:space="preserve">(3) </w:t>
      </w:r>
      <w:r>
        <w:rPr>
          <w:rFonts w:ascii="Arial" w:cs="Arial" w:eastAsia="Arial" w:hAnsi="Arial"/>
          <w:color w:val="333333"/>
          <w:sz w:val="20"/>
          <w:szCs w:val="20"/>
        </w:rPr>
        <w:t xml:space="preserve">Grenzfall-Dokumentation mit Begründungen (AB Teil B) — pro Gruppe</w:t>
      </w:r>
    </w:p>
    <w:p>
      <w:pPr>
        <w:spacing w:after="60" w:before="60"/>
        <w:jc w:val="left"/>
      </w:pPr>
      <w:r>
        <w:rPr>
          <w:rFonts w:ascii="Arial" w:cs="Arial" w:eastAsia="Arial" w:hAnsi="Arial"/>
          <w:b/>
          <w:bCs/>
          <w:color w:val="0969DA"/>
          <w:sz w:val="20"/>
          <w:szCs w:val="20"/>
        </w:rPr>
        <w:t xml:space="preserve">(4) </w:t>
      </w:r>
      <w:r>
        <w:rPr>
          <w:rFonts w:ascii="Arial" w:cs="Arial" w:eastAsia="Arial" w:hAnsi="Arial"/>
          <w:color w:val="333333"/>
          <w:sz w:val="20"/>
          <w:szCs w:val="20"/>
        </w:rPr>
        <w:t xml:space="preserve">Anonymisierungsregeln für personenbezogene Daten (AB Teil C) — pro Paar</w:t>
      </w:r>
    </w:p>
    <w:p>
      <w:pPr>
        <w:spacing w:after="60" w:before="60"/>
        <w:jc w:val="left"/>
      </w:pPr>
      <w:r>
        <w:rPr>
          <w:rFonts w:ascii="Arial" w:cs="Arial" w:eastAsia="Arial" w:hAnsi="Arial"/>
          <w:b/>
          <w:bCs/>
          <w:color w:val="0969DA"/>
          <w:sz w:val="20"/>
          <w:szCs w:val="20"/>
        </w:rPr>
        <w:t xml:space="preserve">(5) </w:t>
      </w:r>
      <w:r>
        <w:rPr>
          <w:rFonts w:ascii="Arial" w:cs="Arial" w:eastAsia="Arial" w:hAnsi="Arial"/>
          <w:color w:val="333333"/>
          <w:sz w:val="20"/>
          <w:szCs w:val="20"/>
        </w:rPr>
        <w:t xml:space="preserve">Ergebnistabelle: Vorhersagen, Konfidenz, Accuracy (AB Qualitätsraster Teil A) — pro Gruppe</w:t>
      </w:r>
    </w:p>
    <w:p>
      <w:pPr>
        <w:spacing w:after="60" w:before="60"/>
        <w:jc w:val="left"/>
      </w:pPr>
      <w:r>
        <w:rPr>
          <w:rFonts w:ascii="Arial" w:cs="Arial" w:eastAsia="Arial" w:hAnsi="Arial"/>
          <w:b/>
          <w:bCs/>
          <w:color w:val="0969DA"/>
          <w:sz w:val="20"/>
          <w:szCs w:val="20"/>
        </w:rPr>
        <w:t xml:space="preserve">(6) </w:t>
      </w:r>
      <w:r>
        <w:rPr>
          <w:rFonts w:ascii="Arial" w:cs="Arial" w:eastAsia="Arial" w:hAnsi="Arial"/>
          <w:color w:val="333333"/>
          <w:sz w:val="20"/>
          <w:szCs w:val="20"/>
        </w:rPr>
        <w:t xml:space="preserve">Ausgefülltes Qualitätsraster mit Fehleranalyse und Bias-Prüffragen (AB Teil B + C) — pro Paar</w:t>
      </w:r>
    </w:p>
    <w:p>
      <w:pPr>
        <w:spacing w:after="60" w:before="60"/>
        <w:jc w:val="left"/>
      </w:pPr>
      <w:r>
        <w:rPr>
          <w:rFonts w:ascii="Arial" w:cs="Arial" w:eastAsia="Arial" w:hAnsi="Arial"/>
          <w:b/>
          <w:bCs/>
          <w:color w:val="0969DA"/>
          <w:sz w:val="20"/>
          <w:szCs w:val="20"/>
        </w:rPr>
        <w:t xml:space="preserve">(7) </w:t>
      </w:r>
      <w:r>
        <w:rPr>
          <w:rFonts w:ascii="Arial" w:cs="Arial" w:eastAsia="Arial" w:hAnsi="Arial"/>
          <w:color w:val="333333"/>
          <w:sz w:val="20"/>
          <w:szCs w:val="20"/>
        </w:rPr>
        <w:t xml:space="preserve">Checkliste Datenqualität (5–7 Punkte) — Klassenprodukt</w:t>
      </w:r>
    </w:p>
    <w:p>
      <w:pPr>
        <w:spacing w:after="60" w:before="60"/>
        <w:jc w:val="left"/>
      </w:pPr>
      <w:r>
        <w:rPr>
          <w:rFonts w:ascii="Arial" w:cs="Arial" w:eastAsia="Arial" w:hAnsi="Arial"/>
          <w:b/>
          <w:bCs/>
          <w:color w:val="0969DA"/>
          <w:sz w:val="20"/>
          <w:szCs w:val="20"/>
        </w:rPr>
        <w:t xml:space="preserve">(8) </w:t>
      </w:r>
      <w:r>
        <w:rPr>
          <w:rFonts w:ascii="Arial" w:cs="Arial" w:eastAsia="Arial" w:hAnsi="Arial"/>
          <w:color w:val="333333"/>
          <w:sz w:val="20"/>
          <w:szCs w:val="20"/>
        </w:rPr>
        <w:t xml:space="preserve">Individuelle Kurzreflexion (3–5 Sätze)</w:t>
      </w:r>
    </w:p>
    <w:p>
      <w:pPr>
        <w:spacing w:after="120" w:before="240"/>
      </w:pPr>
      <w:r>
        <w:rPr>
          <w:rFonts w:ascii="Arial" w:cs="Arial" w:eastAsia="Arial" w:hAnsi="Arial"/>
          <w:b/>
          <w:bCs/>
          <w:color w:val="0969DA"/>
          <w:sz w:val="24"/>
          <w:szCs w:val="24"/>
        </w:rPr>
        <w:t xml:space="preserve">6  Ethische Reflexion — Verankerung im Ablauf</w:t>
      </w:r>
    </w:p>
    <w:p>
      <w:pPr>
        <w:spacing w:after="100" w:before="60"/>
        <w:jc w:val="left"/>
      </w:pPr>
      <w:r>
        <w:rPr>
          <w:rFonts w:ascii="Arial" w:cs="Arial" w:eastAsia="Arial" w:hAnsi="Arial"/>
          <w:color w:val="333333"/>
          <w:sz w:val="20"/>
          <w:szCs w:val="20"/>
        </w:rPr>
        <w:t xml:space="preserve">Die ethischen Fragen sind an drei Stellen in die fachliche Arbeit eingebaut, nicht als Modul am Ende: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2E7D32" w:sz="1"/>
              <w:left w:val="single" w:color="2E7D32" w:sz="1"/>
              <w:bottom w:val="single" w:color="2E7D32" w:sz="1"/>
              <w:right w:val="single" w:color="2E7D32" w:sz="1"/>
            </w:tcBorders>
            <w:shd w:fill="E8F5E9" w:color="auto" w:val="clear"/>
          </w:tcPr>
          <w:p>
            <w:pPr>
              <w:spacing w:after="60" w:before="100"/>
              <w:jc w:val="left"/>
            </w:pPr>
            <w:r>
              <w:rPr>
                <w:rFonts w:ascii="Arial" w:cs="Arial" w:eastAsia="Arial" w:hAnsi="Arial"/>
                <w:b/>
                <w:bCs/>
                <w:color w:val="0969DA"/>
                <w:sz w:val="20"/>
                <w:szCs w:val="20"/>
              </w:rPr>
              <w:t xml:space="preserve">(1) Datenschutz — DS1, Erarbeitung II: </w:t>
            </w:r>
            <w:r>
              <w:rPr>
                <w:rFonts w:ascii="Arial" w:cs="Arial" w:eastAsia="Arial" w:hAnsi="Arial"/>
                <w:color w:val="333333"/>
                <w:sz w:val="20"/>
                <w:szCs w:val="20"/>
              </w:rPr>
              <w:t xml:space="preserve">Die Anonymisierungsentscheidung beim Screenreader-Ticket erzwingt eine Abwägung zwischen Datenschutz und Funktionalität — und macht sichtbar, dass Anonymisierung für vulnerable Gruppen anders wirken kann.</w:t>
            </w:r>
          </w:p>
          <w:p>
            <w:pPr>
              <w:spacing w:after="60" w:before="60"/>
              <w:jc w:val="left"/>
            </w:pPr>
            <w:r>
              <w:rPr>
                <w:rFonts w:ascii="Arial" w:cs="Arial" w:eastAsia="Arial" w:hAnsi="Arial"/>
                <w:b/>
                <w:bCs/>
                <w:color w:val="0969DA"/>
                <w:sz w:val="20"/>
                <w:szCs w:val="20"/>
              </w:rPr>
              <w:t xml:space="preserve">(2) Bias — DS2, Erarbeitung II: </w:t>
            </w:r>
            <w:r>
              <w:rPr>
                <w:rFonts w:ascii="Arial" w:cs="Arial" w:eastAsia="Arial" w:hAnsi="Arial"/>
                <w:color w:val="333333"/>
                <w:sz w:val="20"/>
                <w:szCs w:val="20"/>
              </w:rPr>
              <w:t xml:space="preserve">Die Analyse der Modell-Fehler nach Kategorien zeigt, dass Klassifikationsentscheidungen reale Konsequenzen für reale Menschen haben (wer wartet länger auf Hilfe?).</w:t>
            </w:r>
          </w:p>
          <w:p>
            <w:pPr>
              <w:spacing w:after="100" w:before="60"/>
              <w:jc w:val="left"/>
            </w:pPr>
            <w:r>
              <w:rPr>
                <w:rFonts w:ascii="Arial" w:cs="Arial" w:eastAsia="Arial" w:hAnsi="Arial"/>
                <w:b/>
                <w:bCs/>
                <w:color w:val="0969DA"/>
                <w:sz w:val="20"/>
                <w:szCs w:val="20"/>
              </w:rPr>
              <w:t xml:space="preserve">(3) Designentscheidungen — DS2, Vergleich: </w:t>
            </w:r>
            <w:r>
              <w:rPr>
                <w:rFonts w:ascii="Arial" w:cs="Arial" w:eastAsia="Arial" w:hAnsi="Arial"/>
                <w:color w:val="333333"/>
                <w:sz w:val="20"/>
                <w:szCs w:val="20"/>
              </w:rPr>
              <w:t xml:space="preserve">Die Erkenntnis, dass die vier Kategorien selbst eine menschliche Setzung sind, öffnet die Frage, welche Tickets durch jedes Kategoriensystem benachteiligt werden.</w:t>
            </w:r>
          </w:p>
        </w:tc>
      </w:tr>
    </w:tbl>
    <w:p>
      <w:pPr>
        <w:spacing w:after="120" w:before="240"/>
      </w:pPr>
      <w:r>
        <w:rPr>
          <w:rFonts w:ascii="Arial" w:cs="Arial" w:eastAsia="Arial" w:hAnsi="Arial"/>
          <w:b/>
          <w:bCs/>
          <w:color w:val="0969DA"/>
          <w:sz w:val="24"/>
          <w:szCs w:val="24"/>
        </w:rPr>
        <w:t xml:space="preserve">7  ⚠️ Fachdidaktische Prüffragen</w:t>
      </w:r>
    </w:p>
    <w:p>
      <w:pPr>
        <w:spacing w:after="100" w:before="60"/>
        <w:jc w:val="left"/>
      </w:pPr>
      <w:r>
        <w:rPr>
          <w:rFonts w:ascii="Arial" w:cs="Arial" w:eastAsia="Arial" w:hAnsi="Arial"/>
          <w:color w:val="333333"/>
          <w:sz w:val="20"/>
          <w:szCs w:val="20"/>
        </w:rPr>
        <w:t xml:space="preserve">Diese Fragen markieren Stellen, an denen der Entwurf fachliche Expertise braucht, die über die KI-Didaktik hinausgeht.</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F9A825" w:sz="1"/>
              <w:left w:val="single" w:color="F9A825" w:sz="1"/>
              <w:bottom w:val="single" w:color="F9A825" w:sz="1"/>
              <w:right w:val="single" w:color="F9A825" w:sz="1"/>
            </w:tcBorders>
            <w:shd w:fill="FFF8E1" w:color="auto" w:val="clear"/>
          </w:tcPr>
          <w:p>
            <w:pPr>
              <w:spacing w:after="60" w:before="100"/>
              <w:jc w:val="left"/>
            </w:pPr>
            <w:r>
              <w:rPr>
                <w:rFonts w:ascii="Arial" w:cs="Arial" w:eastAsia="Arial" w:hAnsi="Arial"/>
                <w:b/>
                <w:bCs/>
                <w:color w:val="F57F17"/>
                <w:sz w:val="20"/>
                <w:szCs w:val="20"/>
              </w:rPr>
              <w:t xml:space="preserve">⚠️ (1) Zeitmanagement: </w:t>
            </w:r>
            <w:r>
              <w:rPr>
                <w:rFonts w:ascii="Arial" w:cs="Arial" w:eastAsia="Arial" w:hAnsi="Arial"/>
                <w:color w:val="333333"/>
                <w:sz w:val="20"/>
                <w:szCs w:val="20"/>
              </w:rPr>
              <w:t xml:space="preserve">Sind 30 Tickets in 25 Minuten Gruppenarbeit realistisch zu klassifizieren, oder muss der Datensatz ggf. weiter reduziert werden? Wie viele der 6 mehrdeutigen Tickets sind produktiv, ohne die Gruppen zu frustrieren?</w:t>
            </w:r>
          </w:p>
          <w:p>
            <w:pPr>
              <w:spacing w:after="60" w:before="60"/>
              <w:jc w:val="left"/>
            </w:pPr>
            <w:r>
              <w:rPr>
                <w:rFonts w:ascii="Arial" w:cs="Arial" w:eastAsia="Arial" w:hAnsi="Arial"/>
                <w:b/>
                <w:bCs/>
                <w:color w:val="F57F17"/>
                <w:sz w:val="20"/>
                <w:szCs w:val="20"/>
              </w:rPr>
              <w:t xml:space="preserve">⚠️ (2) Toolwahl: </w:t>
            </w:r>
            <w:r>
              <w:rPr>
                <w:rFonts w:ascii="Arial" w:cs="Arial" w:eastAsia="Arial" w:hAnsi="Arial"/>
                <w:color w:val="333333"/>
                <w:sz w:val="20"/>
                <w:szCs w:val="20"/>
              </w:rPr>
              <w:t xml:space="preserve">Der Entwurf setzt ein browserbasiertes ML-Tool voraus, das Textklassifikation mit selbst gelabelten Daten ermöglicht. Ein vorbereitetes Gradio-Interface mit einem einfachen Naive-Bayes- oder TF-IDF-Klassifikator wäre die robustere Wahl — erfordert aber Vorbereitung durch die Lehrkraft oder IT-Abteilung.</w:t>
            </w:r>
          </w:p>
          <w:p>
            <w:pPr>
              <w:spacing w:after="60" w:before="60"/>
              <w:jc w:val="left"/>
            </w:pPr>
            <w:r>
              <w:rPr>
                <w:rFonts w:ascii="Arial" w:cs="Arial" w:eastAsia="Arial" w:hAnsi="Arial"/>
                <w:b/>
                <w:bCs/>
                <w:color w:val="F57F17"/>
                <w:sz w:val="20"/>
                <w:szCs w:val="20"/>
              </w:rPr>
              <w:t xml:space="preserve">⚠️ (3) Transferbehauptung: </w:t>
            </w:r>
            <w:r>
              <w:rPr>
                <w:rFonts w:ascii="Arial" w:cs="Arial" w:eastAsia="Arial" w:hAnsi="Arial"/>
                <w:color w:val="333333"/>
                <w:sz w:val="20"/>
                <w:szCs w:val="20"/>
              </w:rPr>
              <w:t xml:space="preserve">Die Rückbindung an LF5 behauptet, dass Datenqualitätsprinzipien von ML auf allgemeine Softwareentwicklung übertragbar sind. Ist das fachdidaktisch tragfähig, oder besteht das Risiko, dass SuS ML-spezifische Anforderungen (Labelkonsistenz) mit allgemeinen Anforderungen an Datenmodellierung verwechseln?</w:t>
            </w:r>
          </w:p>
          <w:p>
            <w:pPr>
              <w:spacing w:after="100" w:before="60"/>
              <w:jc w:val="left"/>
            </w:pPr>
            <w:r>
              <w:rPr>
                <w:rFonts w:ascii="Arial" w:cs="Arial" w:eastAsia="Arial" w:hAnsi="Arial"/>
                <w:b/>
                <w:bCs/>
                <w:color w:val="F57F17"/>
                <w:sz w:val="20"/>
                <w:szCs w:val="20"/>
              </w:rPr>
              <w:t xml:space="preserve">⚠️ (4) Sensibilität: </w:t>
            </w:r>
            <w:r>
              <w:rPr>
                <w:rFonts w:ascii="Arial" w:cs="Arial" w:eastAsia="Arial" w:hAnsi="Arial"/>
                <w:color w:val="333333"/>
                <w:sz w:val="20"/>
                <w:szCs w:val="20"/>
              </w:rPr>
              <w:t xml:space="preserve">T-029 (Screenreader / Sehbehinderung) und T-026 (Mutterschutz) berühren persönliche Lebensumstände. Ist die Formulierung für eine Berufsschulklasse angemessen, oder braucht es eine sensiblere Rahmung durch die Lehrkraft?</w:t>
            </w:r>
          </w:p>
        </w:tc>
      </w:tr>
    </w:tbl>
    <w:p>
      <w:r>
        <w:br/>
        <w:t xml:space="preserve"/>
      </w:r>
    </w:p>
    <w:p>
      <w:pPr>
        <w:spacing w:after="120" w:before="240"/>
      </w:pPr>
      <w:r>
        <w:rPr>
          <w:rFonts w:ascii="Arial" w:cs="Arial" w:eastAsia="Arial" w:hAnsi="Arial"/>
          <w:b/>
          <w:bCs/>
          <w:color w:val="0969DA"/>
          <w:sz w:val="24"/>
          <w:szCs w:val="24"/>
        </w:rPr>
        <w:t xml:space="preserve">8  Selbst-Check anhand der Qualitätsrubrik</w:t>
      </w:r>
    </w:p>
    <w:p>
      <w:pPr>
        <w:spacing w:after="100" w:before="60"/>
        <w:jc w:val="left"/>
      </w:pPr>
      <w:r>
        <w:rPr>
          <w:rFonts w:ascii="Arial" w:cs="Arial" w:eastAsia="Arial" w:hAnsi="Arial"/>
          <w:color w:val="333333"/>
          <w:sz w:val="20"/>
          <w:szCs w:val="20"/>
        </w:rPr>
        <w:t xml:space="preserve">Prüfung des Entwurfs gegen die 10 Kernkriterien (Bereiche A, B, C):</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600"/>
        <w:gridCol w:w="7200"/>
      </w:tblGrid>
      <w:tr>
        <w:tc>
          <w:tcPr>
            <w:tcW w:type="dxa" w:w="1800"/>
            <w:tcBorders>
              <w:top w:val="single" w:color="0969DA" w:sz="1"/>
              <w:left w:val="single" w:color="0969DA" w:sz="1"/>
              <w:bottom w:val="single" w:color="0969DA" w:sz="1"/>
              <w:right w:val="single" w:color="0969DA" w:sz="1"/>
            </w:tcBorders>
            <w:shd w:fill="0969DA" w:color="auto" w:val="clear"/>
            <w:vAlign w:val="center"/>
          </w:tcPr>
          <w:p>
            <w:pPr>
              <w:spacing w:after="60" w:before="60"/>
            </w:pPr>
            <w:r>
              <w:rPr>
                <w:rFonts w:ascii="Arial" w:cs="Arial" w:eastAsia="Arial" w:hAnsi="Arial"/>
                <w:b/>
                <w:bCs/>
                <w:color w:val="FFFFFF"/>
                <w:sz w:val="20"/>
                <w:szCs w:val="20"/>
              </w:rPr>
              <w:t xml:space="preserve">Kriterium</w:t>
            </w:r>
          </w:p>
        </w:tc>
        <w:tc>
          <w:tcPr>
            <w:tcW w:type="dxa" w:w="600"/>
            <w:tcBorders>
              <w:top w:val="single" w:color="0969DA" w:sz="1"/>
              <w:left w:val="single" w:color="0969DA" w:sz="1"/>
              <w:bottom w:val="single" w:color="0969DA" w:sz="1"/>
              <w:right w:val="single" w:color="0969DA" w:sz="1"/>
            </w:tcBorders>
            <w:shd w:fill="0969DA" w:color="auto" w:val="clear"/>
            <w:vAlign w:val="center"/>
          </w:tcPr>
          <w:p>
            <w:pPr>
              <w:spacing w:after="60" w:before="60"/>
            </w:pPr>
            <w:r>
              <w:rPr>
                <w:rFonts w:ascii="Arial" w:cs="Arial" w:eastAsia="Arial" w:hAnsi="Arial"/>
                <w:b/>
                <w:bCs/>
                <w:color w:val="FFFFFF"/>
                <w:sz w:val="20"/>
                <w:szCs w:val="20"/>
              </w:rPr>
              <w:t xml:space="preserve"/>
            </w:r>
          </w:p>
        </w:tc>
        <w:tc>
          <w:tcPr>
            <w:tcW w:type="dxa" w:w="7200"/>
            <w:tcBorders>
              <w:top w:val="single" w:color="0969DA" w:sz="1"/>
              <w:left w:val="single" w:color="0969DA" w:sz="1"/>
              <w:bottom w:val="single" w:color="0969DA" w:sz="1"/>
              <w:right w:val="single" w:color="0969DA" w:sz="1"/>
            </w:tcBorders>
            <w:shd w:fill="0969DA" w:color="auto" w:val="clear"/>
            <w:vAlign w:val="center"/>
          </w:tcPr>
          <w:p>
            <w:pPr>
              <w:spacing w:after="60" w:before="60"/>
            </w:pPr>
            <w:r>
              <w:rPr>
                <w:rFonts w:ascii="Arial" w:cs="Arial" w:eastAsia="Arial" w:hAnsi="Arial"/>
                <w:b/>
                <w:bCs/>
                <w:color w:val="FFFFFF"/>
                <w:sz w:val="20"/>
                <w:szCs w:val="20"/>
              </w:rPr>
              <w:t xml:space="preserve">Kommentar</w:t>
            </w:r>
          </w:p>
        </w:tc>
      </w:tr>
      <w:tr>
        <w:tc>
          <w:tcPr>
            <w:tcW w:type="dxa" w:w="18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b/>
                <w:bCs/>
                <w:color w:val="333333"/>
                <w:sz w:val="18"/>
                <w:szCs w:val="18"/>
              </w:rPr>
              <w:t xml:space="preserve">A1 Echte Fachfrage</w:t>
            </w:r>
          </w:p>
        </w:tc>
        <w:tc>
          <w:tcPr>
            <w:tcW w:type="dxa" w:w="600"/>
            <w:tcBorders>
              <w:top w:val="single" w:color="D0D7DE" w:sz="1"/>
              <w:left w:val="single" w:color="D0D7DE" w:sz="1"/>
              <w:bottom w:val="single" w:color="D0D7DE" w:sz="1"/>
              <w:right w:val="single" w:color="D0D7DE" w:sz="1"/>
            </w:tcBorders>
            <w:shd w:fill="FFFFFF" w:color="auto" w:val="clear"/>
            <w:vAlign w:val="center"/>
          </w:tcPr>
          <w:p>
            <w:pPr>
              <w:spacing w:after="40" w:before="40"/>
            </w:pPr>
            <w:r>
              <w:rPr>
                <w:rFonts w:ascii="Arial" w:cs="Arial" w:eastAsia="Arial" w:hAnsi="Arial"/>
                <w:b/>
                <w:bCs/>
                <w:color w:val="2E7D32"/>
                <w:sz w:val="20"/>
                <w:szCs w:val="20"/>
              </w:rPr>
              <w:t xml:space="preserve">✔</w:t>
            </w:r>
          </w:p>
        </w:tc>
        <w:tc>
          <w:tcPr>
            <w:tcW w:type="dxa" w:w="72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color w:val="333333"/>
                <w:sz w:val="18"/>
                <w:szCs w:val="18"/>
              </w:rPr>
              <w:t xml:space="preserve">„Wie müssen Daten klassifiziert und qualitätsgesichert werden, damit automatisierte Verarbeitung funktioniert?“ ist auch ohne KI eine gute LF5-Frage.</w:t>
            </w:r>
          </w:p>
        </w:tc>
      </w:tr>
      <w:tr>
        <w:tc>
          <w:tcPr>
            <w:tcW w:type="dxa" w:w="18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b/>
                <w:bCs/>
                <w:color w:val="333333"/>
                <w:sz w:val="18"/>
                <w:szCs w:val="18"/>
              </w:rPr>
              <w:t xml:space="preserve">A2 Curriculare Verankerung</w:t>
            </w:r>
          </w:p>
        </w:tc>
        <w:tc>
          <w:tcPr>
            <w:tcW w:type="dxa" w:w="600"/>
            <w:tcBorders>
              <w:top w:val="single" w:color="D0D7DE" w:sz="1"/>
              <w:left w:val="single" w:color="D0D7DE" w:sz="1"/>
              <w:bottom w:val="single" w:color="D0D7DE" w:sz="1"/>
              <w:right w:val="single" w:color="D0D7DE" w:sz="1"/>
            </w:tcBorders>
            <w:shd w:fill="F6F8FA" w:color="auto" w:val="clear"/>
            <w:vAlign w:val="center"/>
          </w:tcPr>
          <w:p>
            <w:pPr>
              <w:spacing w:after="40" w:before="40"/>
            </w:pPr>
            <w:r>
              <w:rPr>
                <w:rFonts w:ascii="Arial" w:cs="Arial" w:eastAsia="Arial" w:hAnsi="Arial"/>
                <w:b/>
                <w:bCs/>
                <w:color w:val="2E7D32"/>
                <w:sz w:val="20"/>
                <w:szCs w:val="20"/>
              </w:rPr>
              <w:t xml:space="preserve">✔</w:t>
            </w:r>
          </w:p>
        </w:tc>
        <w:tc>
          <w:tcPr>
            <w:tcW w:type="dxa" w:w="72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color w:val="333333"/>
                <w:sz w:val="18"/>
                <w:szCs w:val="18"/>
              </w:rPr>
              <w:t xml:space="preserve">Direkt auf drei Kompetenzen aus LF5 bezogen. Querverbindung zu LF6 über das Ticket-Szenario.</w:t>
            </w:r>
          </w:p>
        </w:tc>
      </w:tr>
      <w:tr>
        <w:tc>
          <w:tcPr>
            <w:tcW w:type="dxa" w:w="18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b/>
                <w:bCs/>
                <w:color w:val="333333"/>
                <w:sz w:val="18"/>
                <w:szCs w:val="18"/>
              </w:rPr>
              <w:t xml:space="preserve">A3 KI-Kompetenzdomäne</w:t>
            </w:r>
          </w:p>
        </w:tc>
        <w:tc>
          <w:tcPr>
            <w:tcW w:type="dxa" w:w="600"/>
            <w:tcBorders>
              <w:top w:val="single" w:color="D0D7DE" w:sz="1"/>
              <w:left w:val="single" w:color="D0D7DE" w:sz="1"/>
              <w:bottom w:val="single" w:color="D0D7DE" w:sz="1"/>
              <w:right w:val="single" w:color="D0D7DE" w:sz="1"/>
            </w:tcBorders>
            <w:shd w:fill="FFFFFF" w:color="auto" w:val="clear"/>
            <w:vAlign w:val="center"/>
          </w:tcPr>
          <w:p>
            <w:pPr>
              <w:spacing w:after="40" w:before="40"/>
            </w:pPr>
            <w:r>
              <w:rPr>
                <w:rFonts w:ascii="Arial" w:cs="Arial" w:eastAsia="Arial" w:hAnsi="Arial"/>
                <w:b/>
                <w:bCs/>
                <w:color w:val="2E7D32"/>
                <w:sz w:val="20"/>
                <w:szCs w:val="20"/>
              </w:rPr>
              <w:t xml:space="preserve">✔</w:t>
            </w:r>
          </w:p>
        </w:tc>
        <w:tc>
          <w:tcPr>
            <w:tcW w:type="dxa" w:w="72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color w:val="333333"/>
                <w:sz w:val="18"/>
                <w:szCs w:val="18"/>
              </w:rPr>
              <w:t xml:space="preserve">E, G und B sind explizit adressiert: E in DS1 (Verstehen), G in DS2 (Modell trainieren), B in DS2 (Bias analysieren).</w:t>
            </w:r>
          </w:p>
        </w:tc>
      </w:tr>
      <w:tr>
        <w:tc>
          <w:tcPr>
            <w:tcW w:type="dxa" w:w="18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b/>
                <w:bCs/>
                <w:color w:val="333333"/>
                <w:sz w:val="18"/>
                <w:szCs w:val="18"/>
              </w:rPr>
              <w:t xml:space="preserve">A4 Ethik eingebaut</w:t>
            </w:r>
          </w:p>
        </w:tc>
        <w:tc>
          <w:tcPr>
            <w:tcW w:type="dxa" w:w="600"/>
            <w:tcBorders>
              <w:top w:val="single" w:color="D0D7DE" w:sz="1"/>
              <w:left w:val="single" w:color="D0D7DE" w:sz="1"/>
              <w:bottom w:val="single" w:color="D0D7DE" w:sz="1"/>
              <w:right w:val="single" w:color="D0D7DE" w:sz="1"/>
            </w:tcBorders>
            <w:shd w:fill="F6F8FA" w:color="auto" w:val="clear"/>
            <w:vAlign w:val="center"/>
          </w:tcPr>
          <w:p>
            <w:pPr>
              <w:spacing w:after="40" w:before="40"/>
            </w:pPr>
            <w:r>
              <w:rPr>
                <w:rFonts w:ascii="Arial" w:cs="Arial" w:eastAsia="Arial" w:hAnsi="Arial"/>
                <w:b/>
                <w:bCs/>
                <w:color w:val="2E7D32"/>
                <w:sz w:val="20"/>
                <w:szCs w:val="20"/>
              </w:rPr>
              <w:t xml:space="preserve">✔</w:t>
            </w:r>
          </w:p>
        </w:tc>
        <w:tc>
          <w:tcPr>
            <w:tcW w:type="dxa" w:w="72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color w:val="333333"/>
                <w:sz w:val="18"/>
                <w:szCs w:val="18"/>
              </w:rPr>
              <w:t xml:space="preserve">Drei Stellen, jeweils in die fachliche Arbeit integriert. Keine Extra-Phase am Ende.</w:t>
            </w:r>
          </w:p>
        </w:tc>
      </w:tr>
      <w:tr>
        <w:tc>
          <w:tcPr>
            <w:tcW w:type="dxa" w:w="18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b/>
                <w:bCs/>
                <w:color w:val="333333"/>
                <w:sz w:val="18"/>
                <w:szCs w:val="18"/>
              </w:rPr>
              <w:t xml:space="preserve">B1 Lernziele mit Operatoren</w:t>
            </w:r>
          </w:p>
        </w:tc>
        <w:tc>
          <w:tcPr>
            <w:tcW w:type="dxa" w:w="600"/>
            <w:tcBorders>
              <w:top w:val="single" w:color="D0D7DE" w:sz="1"/>
              <w:left w:val="single" w:color="D0D7DE" w:sz="1"/>
              <w:bottom w:val="single" w:color="D0D7DE" w:sz="1"/>
              <w:right w:val="single" w:color="D0D7DE" w:sz="1"/>
            </w:tcBorders>
            <w:shd w:fill="FFFFFF" w:color="auto" w:val="clear"/>
            <w:vAlign w:val="center"/>
          </w:tcPr>
          <w:p>
            <w:pPr>
              <w:spacing w:after="40" w:before="40"/>
            </w:pPr>
            <w:r>
              <w:rPr>
                <w:rFonts w:ascii="Arial" w:cs="Arial" w:eastAsia="Arial" w:hAnsi="Arial"/>
                <w:b/>
                <w:bCs/>
                <w:color w:val="2E7D32"/>
                <w:sz w:val="20"/>
                <w:szCs w:val="20"/>
              </w:rPr>
              <w:t xml:space="preserve">✔</w:t>
            </w:r>
          </w:p>
        </w:tc>
        <w:tc>
          <w:tcPr>
            <w:tcW w:type="dxa" w:w="72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color w:val="333333"/>
                <w:sz w:val="18"/>
                <w:szCs w:val="18"/>
              </w:rPr>
              <w:t xml:space="preserve">Klassifizieren, analysieren, vergleichen, bewerten, identifizieren — alle überprüfbar.</w:t>
            </w:r>
          </w:p>
        </w:tc>
      </w:tr>
      <w:tr>
        <w:tc>
          <w:tcPr>
            <w:tcW w:type="dxa" w:w="18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b/>
                <w:bCs/>
                <w:color w:val="333333"/>
                <w:sz w:val="18"/>
                <w:szCs w:val="18"/>
              </w:rPr>
              <w:t xml:space="preserve">B2 Konkrete SuS-Aktivität</w:t>
            </w:r>
          </w:p>
        </w:tc>
        <w:tc>
          <w:tcPr>
            <w:tcW w:type="dxa" w:w="600"/>
            <w:tcBorders>
              <w:top w:val="single" w:color="D0D7DE" w:sz="1"/>
              <w:left w:val="single" w:color="D0D7DE" w:sz="1"/>
              <w:bottom w:val="single" w:color="D0D7DE" w:sz="1"/>
              <w:right w:val="single" w:color="D0D7DE" w:sz="1"/>
            </w:tcBorders>
            <w:shd w:fill="F6F8FA" w:color="auto" w:val="clear"/>
            <w:vAlign w:val="center"/>
          </w:tcPr>
          <w:p>
            <w:pPr>
              <w:spacing w:after="40" w:before="40"/>
            </w:pPr>
            <w:r>
              <w:rPr>
                <w:rFonts w:ascii="Arial" w:cs="Arial" w:eastAsia="Arial" w:hAnsi="Arial"/>
                <w:b/>
                <w:bCs/>
                <w:color w:val="2E7D32"/>
                <w:sz w:val="20"/>
                <w:szCs w:val="20"/>
              </w:rPr>
              <w:t xml:space="preserve">✔</w:t>
            </w:r>
          </w:p>
        </w:tc>
        <w:tc>
          <w:tcPr>
            <w:tcW w:type="dxa" w:w="72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color w:val="333333"/>
                <w:sz w:val="18"/>
                <w:szCs w:val="18"/>
              </w:rPr>
              <w:t xml:space="preserve">Jede Phase beschreibt, was SuS tun: Tickets labeln, Regeln schreiben, Modell trainieren, Accuracy berechnen, Fehler analysieren, Checkliste formulieren.</w:t>
            </w:r>
          </w:p>
        </w:tc>
      </w:tr>
      <w:tr>
        <w:tc>
          <w:tcPr>
            <w:tcW w:type="dxa" w:w="18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b/>
                <w:bCs/>
                <w:color w:val="333333"/>
                <w:sz w:val="18"/>
                <w:szCs w:val="18"/>
              </w:rPr>
              <w:t xml:space="preserve">B3 Kognitive Aktivierung</w:t>
            </w:r>
          </w:p>
        </w:tc>
        <w:tc>
          <w:tcPr>
            <w:tcW w:type="dxa" w:w="600"/>
            <w:tcBorders>
              <w:top w:val="single" w:color="D0D7DE" w:sz="1"/>
              <w:left w:val="single" w:color="D0D7DE" w:sz="1"/>
              <w:bottom w:val="single" w:color="D0D7DE" w:sz="1"/>
              <w:right w:val="single" w:color="D0D7DE" w:sz="1"/>
            </w:tcBorders>
            <w:shd w:fill="FFFFFF" w:color="auto" w:val="clear"/>
            <w:vAlign w:val="center"/>
          </w:tcPr>
          <w:p>
            <w:pPr>
              <w:spacing w:after="40" w:before="40"/>
            </w:pPr>
            <w:r>
              <w:rPr>
                <w:rFonts w:ascii="Arial" w:cs="Arial" w:eastAsia="Arial" w:hAnsi="Arial"/>
                <w:b/>
                <w:bCs/>
                <w:color w:val="2E7D32"/>
                <w:sz w:val="20"/>
                <w:szCs w:val="20"/>
              </w:rPr>
              <w:t xml:space="preserve">✔</w:t>
            </w:r>
          </w:p>
        </w:tc>
        <w:tc>
          <w:tcPr>
            <w:tcW w:type="dxa" w:w="72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color w:val="333333"/>
                <w:sz w:val="18"/>
                <w:szCs w:val="18"/>
              </w:rPr>
              <w:t xml:space="preserve">Grenzfälle erzwingen Begründen, Modellvergleich erzwingt kausale Analyse, Bias-Fragen erfordern Perspektivwechsel.</w:t>
            </w:r>
          </w:p>
        </w:tc>
      </w:tr>
      <w:tr>
        <w:tc>
          <w:tcPr>
            <w:tcW w:type="dxa" w:w="18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b/>
                <w:bCs/>
                <w:color w:val="333333"/>
                <w:sz w:val="18"/>
                <w:szCs w:val="18"/>
              </w:rPr>
              <w:t xml:space="preserve">B4 SuS-Produkt</w:t>
            </w:r>
          </w:p>
        </w:tc>
        <w:tc>
          <w:tcPr>
            <w:tcW w:type="dxa" w:w="600"/>
            <w:tcBorders>
              <w:top w:val="single" w:color="D0D7DE" w:sz="1"/>
              <w:left w:val="single" w:color="D0D7DE" w:sz="1"/>
              <w:bottom w:val="single" w:color="D0D7DE" w:sz="1"/>
              <w:right w:val="single" w:color="D0D7DE" w:sz="1"/>
            </w:tcBorders>
            <w:shd w:fill="F6F8FA" w:color="auto" w:val="clear"/>
            <w:vAlign w:val="center"/>
          </w:tcPr>
          <w:p>
            <w:pPr>
              <w:spacing w:after="40" w:before="40"/>
            </w:pPr>
            <w:r>
              <w:rPr>
                <w:rFonts w:ascii="Arial" w:cs="Arial" w:eastAsia="Arial" w:hAnsi="Arial"/>
                <w:b/>
                <w:bCs/>
                <w:color w:val="2E7D32"/>
                <w:sz w:val="20"/>
                <w:szCs w:val="20"/>
              </w:rPr>
              <w:t xml:space="preserve">✔</w:t>
            </w:r>
          </w:p>
        </w:tc>
        <w:tc>
          <w:tcPr>
            <w:tcW w:type="dxa" w:w="72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color w:val="333333"/>
                <w:sz w:val="18"/>
                <w:szCs w:val="18"/>
              </w:rPr>
              <w:t xml:space="preserve">Acht greifbare Produkte, davon drei fachlich direkt verwertbar (Datensatz, Klassifikationsregeln, Checkliste).</w:t>
            </w:r>
          </w:p>
        </w:tc>
      </w:tr>
      <w:tr>
        <w:tc>
          <w:tcPr>
            <w:tcW w:type="dxa" w:w="18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b/>
                <w:bCs/>
                <w:color w:val="333333"/>
                <w:sz w:val="18"/>
                <w:szCs w:val="18"/>
              </w:rPr>
              <w:t xml:space="preserve">C1 Fachdid. Prüffragen</w:t>
            </w:r>
          </w:p>
        </w:tc>
        <w:tc>
          <w:tcPr>
            <w:tcW w:type="dxa" w:w="600"/>
            <w:tcBorders>
              <w:top w:val="single" w:color="D0D7DE" w:sz="1"/>
              <w:left w:val="single" w:color="D0D7DE" w:sz="1"/>
              <w:bottom w:val="single" w:color="D0D7DE" w:sz="1"/>
              <w:right w:val="single" w:color="D0D7DE" w:sz="1"/>
            </w:tcBorders>
            <w:shd w:fill="FFFFFF" w:color="auto" w:val="clear"/>
            <w:vAlign w:val="center"/>
          </w:tcPr>
          <w:p>
            <w:pPr>
              <w:spacing w:after="40" w:before="40"/>
            </w:pPr>
            <w:r>
              <w:rPr>
                <w:rFonts w:ascii="Arial" w:cs="Arial" w:eastAsia="Arial" w:hAnsi="Arial"/>
                <w:b/>
                <w:bCs/>
                <w:color w:val="2E7D32"/>
                <w:sz w:val="20"/>
                <w:szCs w:val="20"/>
              </w:rPr>
              <w:t xml:space="preserve">✔</w:t>
            </w:r>
          </w:p>
        </w:tc>
        <w:tc>
          <w:tcPr>
            <w:tcW w:type="dxa" w:w="7200"/>
            <w:tcBorders>
              <w:top w:val="single" w:color="D0D7DE" w:sz="1"/>
              <w:left w:val="single" w:color="D0D7DE" w:sz="1"/>
              <w:bottom w:val="single" w:color="D0D7DE" w:sz="1"/>
              <w:right w:val="single" w:color="D0D7DE" w:sz="1"/>
            </w:tcBorders>
            <w:shd w:fill="FFFFFF" w:color="auto" w:val="clear"/>
            <w:vAlign w:val="top"/>
          </w:tcPr>
          <w:p>
            <w:pPr>
              <w:spacing w:after="40" w:before="40"/>
            </w:pPr>
            <w:r>
              <w:rPr>
                <w:rFonts w:ascii="Arial" w:cs="Arial" w:eastAsia="Arial" w:hAnsi="Arial"/>
                <w:color w:val="333333"/>
                <w:sz w:val="18"/>
                <w:szCs w:val="18"/>
              </w:rPr>
              <w:t xml:space="preserve">Vier Fragen: Zeitmanagement, technische Machbarkeit, didaktische Reduktion, Sensibilität.</w:t>
            </w:r>
          </w:p>
        </w:tc>
      </w:tr>
      <w:tr>
        <w:tc>
          <w:tcPr>
            <w:tcW w:type="dxa" w:w="18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b/>
                <w:bCs/>
                <w:color w:val="333333"/>
                <w:sz w:val="18"/>
                <w:szCs w:val="18"/>
              </w:rPr>
              <w:t xml:space="preserve">C2 Material/Voraussetzungen</w:t>
            </w:r>
          </w:p>
        </w:tc>
        <w:tc>
          <w:tcPr>
            <w:tcW w:type="dxa" w:w="600"/>
            <w:tcBorders>
              <w:top w:val="single" w:color="D0D7DE" w:sz="1"/>
              <w:left w:val="single" w:color="D0D7DE" w:sz="1"/>
              <w:bottom w:val="single" w:color="D0D7DE" w:sz="1"/>
              <w:right w:val="single" w:color="D0D7DE" w:sz="1"/>
            </w:tcBorders>
            <w:shd w:fill="F6F8FA" w:color="auto" w:val="clear"/>
            <w:vAlign w:val="center"/>
          </w:tcPr>
          <w:p>
            <w:pPr>
              <w:spacing w:after="40" w:before="40"/>
            </w:pPr>
            <w:r>
              <w:rPr>
                <w:rFonts w:ascii="Arial" w:cs="Arial" w:eastAsia="Arial" w:hAnsi="Arial"/>
                <w:b/>
                <w:bCs/>
                <w:color w:val="F57F17"/>
                <w:sz w:val="20"/>
                <w:szCs w:val="20"/>
              </w:rPr>
              <w:t xml:space="preserve">~</w:t>
            </w:r>
          </w:p>
        </w:tc>
        <w:tc>
          <w:tcPr>
            <w:tcW w:type="dxa" w:w="7200"/>
            <w:tcBorders>
              <w:top w:val="single" w:color="D0D7DE" w:sz="1"/>
              <w:left w:val="single" w:color="D0D7DE" w:sz="1"/>
              <w:bottom w:val="single" w:color="D0D7DE" w:sz="1"/>
              <w:right w:val="single" w:color="D0D7DE" w:sz="1"/>
            </w:tcBorders>
            <w:shd w:fill="F6F8FA" w:color="auto" w:val="clear"/>
            <w:vAlign w:val="top"/>
          </w:tcPr>
          <w:p>
            <w:pPr>
              <w:spacing w:after="40" w:before="40"/>
            </w:pPr>
            <w:r>
              <w:rPr>
                <w:rFonts w:ascii="Arial" w:cs="Arial" w:eastAsia="Arial" w:hAnsi="Arial"/>
                <w:color w:val="333333"/>
                <w:sz w:val="18"/>
                <w:szCs w:val="18"/>
              </w:rPr>
              <w:t xml:space="preserve">Materialien erstellt (CSV, ABs). Noch offen: (a) 10 Testtickets für DS2, (b) Klärung/Bereitstellung des ML-Tools.</w:t>
            </w:r>
          </w:p>
        </w:tc>
      </w:tr>
    </w:tbl>
    <w:p>
      <w:pPr>
        <w:spacing w:before="2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0D7DE" w:sz="1"/>
              <w:left w:val="single" w:color="D0D7DE" w:sz="1"/>
              <w:bottom w:val="single" w:color="D0D7DE" w:sz="1"/>
              <w:right w:val="single" w:color="D0D7DE" w:sz="1"/>
            </w:tcBorders>
            <w:shd w:fill="F6F8FA" w:color="auto" w:val="clear"/>
          </w:tcPr>
          <w:p>
            <w:pPr>
              <w:spacing w:after="60" w:before="100"/>
              <w:jc w:val="left"/>
            </w:pPr>
            <w:r>
              <w:rPr>
                <w:rFonts w:ascii="Arial" w:cs="Arial" w:eastAsia="Arial" w:hAnsi="Arial"/>
                <w:b/>
                <w:bCs/>
                <w:color w:val="2E7D32"/>
                <w:sz w:val="20"/>
                <w:szCs w:val="20"/>
              </w:rPr>
              <w:t xml:space="preserve">Stärken: </w:t>
            </w:r>
            <w:r>
              <w:rPr>
                <w:rFonts w:ascii="Arial" w:cs="Arial" w:eastAsia="Arial" w:hAnsi="Arial"/>
                <w:color w:val="333333"/>
                <w:sz w:val="20"/>
                <w:szCs w:val="20"/>
              </w:rPr>
              <w:t xml:space="preserve">Der Entwurf lebt von der direkten Erfahrbarkeit — SuS erleben die Konsequenzen ihrer eigenen Klassifikationsqualität am eigenen Modell. Die ethischen Fragen ergeben sich aus den konkreten Daten. Die Rückbindung an LF5 ist nicht aufgesetzt, weil Datenqualität tatsächlich der gemeinsame Nenner ist.</w:t>
            </w:r>
          </w:p>
          <w:p>
            <w:pPr>
              <w:spacing w:after="100" w:before="60"/>
              <w:jc w:val="left"/>
            </w:pPr>
            <w:r>
              <w:rPr>
                <w:rFonts w:ascii="Arial" w:cs="Arial" w:eastAsia="Arial" w:hAnsi="Arial"/>
                <w:b/>
                <w:bCs/>
                <w:color w:val="F57F17"/>
                <w:sz w:val="20"/>
                <w:szCs w:val="20"/>
              </w:rPr>
              <w:t xml:space="preserve">Größtes Verbesserungspotenzial: </w:t>
            </w:r>
            <w:r>
              <w:rPr>
                <w:rFonts w:ascii="Arial" w:cs="Arial" w:eastAsia="Arial" w:hAnsi="Arial"/>
                <w:color w:val="333333"/>
                <w:sz w:val="20"/>
                <w:szCs w:val="20"/>
              </w:rPr>
              <w:t xml:space="preserve">Die Toolwahl (Prüffrage 2). Ein vorbereitetes, robustes ML-Tool würde die Stunde technisch absichern. Empfehlung: Gradio-Interface mit Naive-Bayes-Klassifikator vorbereiten und vor dem Unterricht testen.</w:t>
            </w:r>
          </w:p>
        </w:tc>
      </w:tr>
    </w:tbl>
    <w:p>
      <w:pPr>
        <w:spacing w:before="300"/>
      </w:pPr>
    </w:p>
    <w:p>
      <w:pPr>
        <w:spacing w:after="60" w:before="60"/>
        <w:jc w:val="left"/>
      </w:pPr>
      <w:r>
        <w:rPr>
          <w:rFonts w:ascii="Arial" w:cs="Arial" w:eastAsia="Arial" w:hAnsi="Arial"/>
          <w:b/>
          <w:bCs/>
          <w:color w:val="888888"/>
          <w:sz w:val="18"/>
          <w:szCs w:val="18"/>
        </w:rPr>
        <w:t xml:space="preserve">Zugehörige Materialien: </w:t>
      </w:r>
      <w:r>
        <w:rPr>
          <w:rFonts w:ascii="Arial" w:cs="Arial" w:eastAsia="Arial" w:hAnsi="Arial"/>
          <w:color w:val="888888"/>
          <w:sz w:val="18"/>
          <w:szCs w:val="18"/>
        </w:rPr>
        <w:t xml:space="preserve">TechServ_Supporttickets_SuS.csv · TechServ_Supporttickets_Lehrkraft.csv · AB_Klassifikationsregeln.docx · AB_Qualitaetsraster.docx · Testtickets (noch zu erstellen) · Gradio-Interface (noch zu erstellen)</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2026-07-20T07:56:50.695Z</dcterms:created>
  <dcterms:modified xsi:type="dcterms:W3CDTF">2026-07-20T07:56:50.707Z</dcterms:modified>
</cp:coreProperties>
</file>

<file path=docProps/custom.xml><?xml version="1.0" encoding="utf-8"?>
<Properties xmlns="http://schemas.openxmlformats.org/officeDocument/2006/custom-properties" xmlns:vt="http://schemas.openxmlformats.org/officeDocument/2006/docPropsVTypes"/>
</file>