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86246C" w14:textId="77777777" w:rsidR="00933A67" w:rsidRDefault="00000000">
      <w:pPr>
        <w:spacing w:after="60"/>
      </w:pPr>
      <w:r>
        <w:rPr>
          <w:b/>
          <w:bCs/>
          <w:sz w:val="40"/>
          <w:szCs w:val="40"/>
        </w:rPr>
        <w:t>Betriebsanweisung</w:t>
      </w:r>
    </w:p>
    <w:p w14:paraId="7C30363F" w14:textId="77777777" w:rsidR="00933A67" w:rsidRDefault="00000000">
      <w:pPr>
        <w:spacing w:after="60"/>
      </w:pPr>
      <w:r>
        <w:rPr>
          <w:color w:val="0969DA"/>
          <w:sz w:val="23"/>
          <w:szCs w:val="23"/>
        </w:rPr>
        <w:t>SDD-Spezifikationspaket Unterrichtsplanung — was es ist, wie es funktioniert, wie man es benutzt</w:t>
      </w:r>
    </w:p>
    <w:p w14:paraId="609E0832" w14:textId="77777777" w:rsidR="00933A67" w:rsidRDefault="00000000">
      <w:pPr>
        <w:spacing w:after="120"/>
      </w:pPr>
      <w:r>
        <w:rPr>
          <w:i/>
          <w:iCs/>
          <w:color w:val="57606A"/>
          <w:sz w:val="19"/>
          <w:szCs w:val="19"/>
        </w:rPr>
        <w:t>Meta-Dokument für Menschen — gehört niemals in den LLM-Kontext</w:t>
      </w:r>
    </w:p>
    <w:p w14:paraId="29AD4300" w14:textId="6C6418B6" w:rsidR="00933A67" w:rsidRDefault="00000000">
      <w:pPr>
        <w:spacing w:after="220" w:line="272" w:lineRule="auto"/>
      </w:pPr>
      <w:r>
        <w:rPr>
          <w:rFonts w:ascii="Consolas" w:eastAsia="Consolas" w:hAnsi="Consolas" w:cs="Consolas"/>
          <w:color w:val="57606A"/>
          <w:sz w:val="18"/>
          <w:szCs w:val="18"/>
        </w:rPr>
        <w:t>WEITERENTWICKLUNG.docx</w:t>
      </w:r>
    </w:p>
    <w:p w14:paraId="76F032DC" w14:textId="77777777" w:rsidR="00933A67" w:rsidRDefault="00000000">
      <w:pPr>
        <w:pStyle w:val="Heading1"/>
        <w:spacing w:before="300" w:after="140"/>
      </w:pPr>
      <w:r>
        <w:rPr>
          <w:b/>
          <w:bCs/>
          <w:color w:val="0969DA"/>
          <w:sz w:val="26"/>
          <w:szCs w:val="26"/>
        </w:rPr>
        <w:t xml:space="preserve">1  </w:t>
      </w:r>
      <w:r>
        <w:rPr>
          <w:b/>
          <w:bCs/>
          <w:color w:val="1F2328"/>
          <w:sz w:val="26"/>
          <w:szCs w:val="26"/>
        </w:rPr>
        <w:t>Was ist das — und warum?</w:t>
      </w:r>
    </w:p>
    <w:p w14:paraId="77DC1648" w14:textId="77777777" w:rsidR="00933A67" w:rsidRDefault="00000000">
      <w:pPr>
        <w:spacing w:after="150" w:line="272" w:lineRule="auto"/>
      </w:pPr>
      <w:r>
        <w:t xml:space="preserve">Dieses Paket ist ein </w:t>
      </w:r>
      <w:r>
        <w:rPr>
          <w:b/>
          <w:bCs/>
        </w:rPr>
        <w:t>Spezifikationssystem für KI-gestützte Unterrichtsplanung</w:t>
      </w:r>
      <w:r>
        <w:t xml:space="preserve">. Die Grundidee in drei Sätzen: Erstens wird die </w:t>
      </w:r>
      <w:r>
        <w:rPr>
          <w:b/>
          <w:bCs/>
        </w:rPr>
        <w:t>Spezifikation</w:t>
      </w:r>
      <w:r>
        <w:t xml:space="preserve"> (Regeln, Qualitätsmaßstäbe, Prozess) vom einzelnen </w:t>
      </w:r>
      <w:r>
        <w:rPr>
          <w:b/>
          <w:bCs/>
        </w:rPr>
        <w:t>Unterrichtsentwurf</w:t>
      </w:r>
      <w:r>
        <w:t xml:space="preserve"> getrennt — der Entwurf ist austauschbar, die Spezifikation ist das Wertartefakt, das über viele Planungen wiederverwendet wird. Zweitens besteht die Spezifikation nicht aus einem Riesenprompt, sondern aus </w:t>
      </w:r>
      <w:r>
        <w:rPr>
          <w:b/>
          <w:bCs/>
        </w:rPr>
        <w:t>geschichteten Dateien</w:t>
      </w:r>
      <w:r>
        <w:t xml:space="preserve">, die gemeinsam in den LLM-Kontext geladen werden. Drittens folgt die Planung einem </w:t>
      </w:r>
      <w:r>
        <w:rPr>
          <w:b/>
          <w:bCs/>
        </w:rPr>
        <w:t>Phasenmodell mit Abnahmepunkten (Gates)</w:t>
      </w:r>
      <w:r>
        <w:t xml:space="preserve"> — und an jedem Gate entscheidet die Lehrkraft, nie das Modell.</w:t>
      </w:r>
    </w:p>
    <w:p w14:paraId="514FCBCE" w14:textId="77777777" w:rsidR="00933A67" w:rsidRDefault="00000000">
      <w:pPr>
        <w:spacing w:after="150" w:line="272" w:lineRule="auto"/>
      </w:pPr>
      <w:r>
        <w:t xml:space="preserve">Das Vorgehen heißt </w:t>
      </w:r>
      <w:r>
        <w:rPr>
          <w:b/>
          <w:bCs/>
        </w:rPr>
        <w:t>Spec-Driven Design (SDD)</w:t>
      </w:r>
      <w:r>
        <w:t xml:space="preserve"> und ist dieselbe Arbeitsweise, mit der man agentische Coding-Assistenten steuert — nur ist das Zielartefakt hier ein Unterrichtsentwurf statt Software. Wer dieses Paket beherrscht, kennt bereits: Spezifikation (Kernidee), Policy (Goldene Regeln ↔ Coding Guidelines), Akzeptanzkriterien (Rubrik ↔ Tests) und Review-Passes (Prüfprotokoll ↔ Code Review).</w:t>
      </w:r>
    </w:p>
    <w:tbl>
      <w:tblPr>
        <w:tblW w:w="10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8"/>
      </w:tblGrid>
      <w:tr w:rsidR="00933A67" w14:paraId="3B14D89E" w14:textId="77777777" w:rsidTr="00CD5D53">
        <w:tblPrEx>
          <w:tblCellMar>
            <w:top w:w="0" w:type="dxa"/>
            <w:bottom w:w="0" w:type="dxa"/>
          </w:tblCellMar>
        </w:tblPrEx>
        <w:tc>
          <w:tcPr>
            <w:tcW w:w="10318" w:type="dxa"/>
            <w:tcBorders>
              <w:top w:val="single" w:sz="4" w:space="0" w:color="D0D7DE"/>
              <w:left w:val="single" w:sz="24" w:space="0" w:color="0969DA"/>
              <w:bottom w:val="single" w:sz="4" w:space="0" w:color="D0D7DE"/>
              <w:right w:val="single" w:sz="4" w:space="0" w:color="D0D7DE"/>
            </w:tcBorders>
            <w:shd w:val="clear" w:color="auto" w:fill="DDF4FF"/>
            <w:tcMar>
              <w:top w:w="110" w:type="dxa"/>
              <w:left w:w="150" w:type="dxa"/>
              <w:bottom w:w="110" w:type="dxa"/>
              <w:right w:w="150" w:type="dxa"/>
            </w:tcMar>
          </w:tcPr>
          <w:p w14:paraId="7D4A7D37" w14:textId="77777777" w:rsidR="00933A67" w:rsidRDefault="00000000">
            <w:pPr>
              <w:spacing w:after="60"/>
            </w:pPr>
            <w:r>
              <w:rPr>
                <w:b/>
                <w:bCs/>
                <w:color w:val="0969DA"/>
                <w:sz w:val="20"/>
                <w:szCs w:val="20"/>
              </w:rPr>
              <w:t>Der Nutzen in einem Satz</w:t>
            </w:r>
          </w:p>
          <w:p w14:paraId="2DB2AFF3" w14:textId="77777777" w:rsidR="00933A67" w:rsidRDefault="00000000">
            <w:pPr>
              <w:spacing w:line="260" w:lineRule="auto"/>
            </w:pPr>
            <w:r>
              <w:t>Statt für jede Planung einen neuen Prompt zu erfinden, pflegt man einmal ein Spezifikationssystem — und füttert pro Planung nur noch den konkreten Fall ein.</w:t>
            </w:r>
          </w:p>
        </w:tc>
      </w:tr>
    </w:tbl>
    <w:p w14:paraId="29C6E8FC" w14:textId="77777777" w:rsidR="00933A67" w:rsidRDefault="00933A67">
      <w:pPr>
        <w:spacing w:after="140"/>
      </w:pPr>
    </w:p>
    <w:p w14:paraId="4EE4DF3E" w14:textId="77777777" w:rsidR="00933A67" w:rsidRDefault="00000000">
      <w:pPr>
        <w:pStyle w:val="Heading1"/>
        <w:spacing w:before="300" w:after="140"/>
      </w:pPr>
      <w:r>
        <w:rPr>
          <w:b/>
          <w:bCs/>
          <w:color w:val="0969DA"/>
          <w:sz w:val="26"/>
          <w:szCs w:val="26"/>
        </w:rPr>
        <w:t xml:space="preserve">2  </w:t>
      </w:r>
      <w:r>
        <w:rPr>
          <w:b/>
          <w:bCs/>
          <w:color w:val="1F2328"/>
          <w:sz w:val="26"/>
          <w:szCs w:val="26"/>
        </w:rPr>
        <w:t>Die Bausteine: acht Schichten</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4021"/>
        <w:gridCol w:w="2556"/>
        <w:gridCol w:w="2972"/>
      </w:tblGrid>
      <w:tr w:rsidR="00933A67" w14:paraId="5B419754" w14:textId="77777777" w:rsidTr="00CD5D53">
        <w:tblPrEx>
          <w:tblCellMar>
            <w:top w:w="0" w:type="dxa"/>
            <w:bottom w:w="0" w:type="dxa"/>
          </w:tblCellMar>
        </w:tblPrEx>
        <w:trPr>
          <w:tblHeader/>
        </w:trPr>
        <w:tc>
          <w:tcPr>
            <w:tcW w:w="794" w:type="dxa"/>
            <w:tcBorders>
              <w:top w:val="single" w:sz="4" w:space="0" w:color="D0D7DE"/>
              <w:left w:val="single" w:sz="4" w:space="0" w:color="D0D7DE"/>
              <w:bottom w:val="single" w:sz="4" w:space="0" w:color="D0D7DE"/>
              <w:right w:val="single" w:sz="4" w:space="0" w:color="D0D7DE"/>
            </w:tcBorders>
            <w:shd w:val="clear" w:color="auto" w:fill="F6F8FA"/>
            <w:tcMar>
              <w:top w:w="70" w:type="dxa"/>
              <w:left w:w="100" w:type="dxa"/>
              <w:bottom w:w="70" w:type="dxa"/>
              <w:right w:w="100" w:type="dxa"/>
            </w:tcMar>
          </w:tcPr>
          <w:p w14:paraId="3D55233E" w14:textId="77777777" w:rsidR="00933A67" w:rsidRDefault="00000000">
            <w:pPr>
              <w:spacing w:after="40" w:line="248" w:lineRule="auto"/>
            </w:pPr>
            <w:r>
              <w:rPr>
                <w:b/>
                <w:bCs/>
                <w:sz w:val="19"/>
                <w:szCs w:val="19"/>
              </w:rPr>
              <w:t>Nr.</w:t>
            </w:r>
          </w:p>
        </w:tc>
        <w:tc>
          <w:tcPr>
            <w:tcW w:w="4021" w:type="dxa"/>
            <w:tcBorders>
              <w:top w:val="single" w:sz="4" w:space="0" w:color="D0D7DE"/>
              <w:left w:val="single" w:sz="4" w:space="0" w:color="D0D7DE"/>
              <w:bottom w:val="single" w:sz="4" w:space="0" w:color="D0D7DE"/>
              <w:right w:val="single" w:sz="4" w:space="0" w:color="D0D7DE"/>
            </w:tcBorders>
            <w:shd w:val="clear" w:color="auto" w:fill="F6F8FA"/>
            <w:tcMar>
              <w:top w:w="70" w:type="dxa"/>
              <w:left w:w="100" w:type="dxa"/>
              <w:bottom w:w="70" w:type="dxa"/>
              <w:right w:w="100" w:type="dxa"/>
            </w:tcMar>
          </w:tcPr>
          <w:p w14:paraId="0635D393" w14:textId="77777777" w:rsidR="00933A67" w:rsidRDefault="00000000">
            <w:pPr>
              <w:spacing w:after="40" w:line="248" w:lineRule="auto"/>
            </w:pPr>
            <w:r>
              <w:rPr>
                <w:b/>
                <w:bCs/>
                <w:sz w:val="19"/>
                <w:szCs w:val="19"/>
              </w:rPr>
              <w:t>Inhalt</w:t>
            </w:r>
          </w:p>
        </w:tc>
        <w:tc>
          <w:tcPr>
            <w:tcW w:w="2556" w:type="dxa"/>
            <w:tcBorders>
              <w:top w:val="single" w:sz="4" w:space="0" w:color="D0D7DE"/>
              <w:left w:val="single" w:sz="4" w:space="0" w:color="D0D7DE"/>
              <w:bottom w:val="single" w:sz="4" w:space="0" w:color="D0D7DE"/>
              <w:right w:val="single" w:sz="4" w:space="0" w:color="D0D7DE"/>
            </w:tcBorders>
            <w:shd w:val="clear" w:color="auto" w:fill="F6F8FA"/>
            <w:tcMar>
              <w:top w:w="70" w:type="dxa"/>
              <w:left w:w="100" w:type="dxa"/>
              <w:bottom w:w="70" w:type="dxa"/>
              <w:right w:w="100" w:type="dxa"/>
            </w:tcMar>
          </w:tcPr>
          <w:p w14:paraId="5A025DE8" w14:textId="77777777" w:rsidR="00933A67" w:rsidRDefault="00000000">
            <w:pPr>
              <w:spacing w:after="40" w:line="248" w:lineRule="auto"/>
            </w:pPr>
            <w:r>
              <w:rPr>
                <w:b/>
                <w:bCs/>
                <w:sz w:val="19"/>
                <w:szCs w:val="19"/>
              </w:rPr>
              <w:t>Ändert sich …</w:t>
            </w:r>
          </w:p>
        </w:tc>
        <w:tc>
          <w:tcPr>
            <w:tcW w:w="2972" w:type="dxa"/>
            <w:tcBorders>
              <w:top w:val="single" w:sz="4" w:space="0" w:color="D0D7DE"/>
              <w:left w:val="single" w:sz="4" w:space="0" w:color="D0D7DE"/>
              <w:bottom w:val="single" w:sz="4" w:space="0" w:color="D0D7DE"/>
              <w:right w:val="single" w:sz="4" w:space="0" w:color="D0D7DE"/>
            </w:tcBorders>
            <w:shd w:val="clear" w:color="auto" w:fill="F6F8FA"/>
            <w:tcMar>
              <w:top w:w="70" w:type="dxa"/>
              <w:left w:w="100" w:type="dxa"/>
              <w:bottom w:w="70" w:type="dxa"/>
              <w:right w:w="100" w:type="dxa"/>
            </w:tcMar>
          </w:tcPr>
          <w:p w14:paraId="27D96D44" w14:textId="77777777" w:rsidR="00933A67" w:rsidRDefault="00000000">
            <w:pPr>
              <w:spacing w:after="40" w:line="248" w:lineRule="auto"/>
            </w:pPr>
            <w:r>
              <w:rPr>
                <w:b/>
                <w:bCs/>
                <w:sz w:val="19"/>
                <w:szCs w:val="19"/>
              </w:rPr>
              <w:t>Rolle beim Laden</w:t>
            </w:r>
          </w:p>
        </w:tc>
      </w:tr>
      <w:tr w:rsidR="00933A67" w14:paraId="679AB6CF" w14:textId="77777777" w:rsidTr="00CD5D53">
        <w:tblPrEx>
          <w:tblCellMar>
            <w:top w:w="0" w:type="dxa"/>
            <w:bottom w:w="0" w:type="dxa"/>
          </w:tblCellMar>
        </w:tblPrEx>
        <w:tc>
          <w:tcPr>
            <w:tcW w:w="794"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7E57523F" w14:textId="77777777" w:rsidR="00933A67" w:rsidRDefault="00000000">
            <w:pPr>
              <w:spacing w:after="40" w:line="248" w:lineRule="auto"/>
            </w:pPr>
            <w:r>
              <w:rPr>
                <w:b/>
                <w:bCs/>
                <w:color w:val="0969DA"/>
              </w:rPr>
              <w:t>S0</w:t>
            </w:r>
          </w:p>
        </w:tc>
        <w:tc>
          <w:tcPr>
            <w:tcW w:w="4021"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76FB27D4" w14:textId="77777777" w:rsidR="00933A67" w:rsidRDefault="00000000">
            <w:pPr>
              <w:spacing w:after="40" w:line="248" w:lineRule="auto"/>
            </w:pPr>
            <w:r>
              <w:t>Externe Vorgaben (Lehrplan, Rechtsrahmen)</w:t>
            </w:r>
          </w:p>
        </w:tc>
        <w:tc>
          <w:tcPr>
            <w:tcW w:w="2556"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1C33F444" w14:textId="77777777" w:rsidR="00933A67" w:rsidRDefault="00000000">
            <w:pPr>
              <w:spacing w:after="40" w:line="248" w:lineRule="auto"/>
            </w:pPr>
            <w:r>
              <w:t>fast nie — extern vorgegeben</w:t>
            </w:r>
          </w:p>
        </w:tc>
        <w:tc>
          <w:tcPr>
            <w:tcW w:w="2972"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102E9F1C" w14:textId="77777777" w:rsidR="00933A67" w:rsidRDefault="00000000">
            <w:pPr>
              <w:spacing w:after="40" w:line="248" w:lineRule="auto"/>
            </w:pPr>
            <w:r>
              <w:t>Anhang (fallweise)</w:t>
            </w:r>
          </w:p>
        </w:tc>
      </w:tr>
      <w:tr w:rsidR="00933A67" w14:paraId="15B76401" w14:textId="77777777" w:rsidTr="00CD5D53">
        <w:tblPrEx>
          <w:tblCellMar>
            <w:top w:w="0" w:type="dxa"/>
            <w:bottom w:w="0" w:type="dxa"/>
          </w:tblCellMar>
        </w:tblPrEx>
        <w:tc>
          <w:tcPr>
            <w:tcW w:w="794"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35640189" w14:textId="77777777" w:rsidR="00933A67" w:rsidRDefault="00000000">
            <w:pPr>
              <w:spacing w:after="40" w:line="248" w:lineRule="auto"/>
            </w:pPr>
            <w:r>
              <w:rPr>
                <w:b/>
                <w:bCs/>
                <w:color w:val="0969DA"/>
              </w:rPr>
              <w:t>S1</w:t>
            </w:r>
          </w:p>
        </w:tc>
        <w:tc>
          <w:tcPr>
            <w:tcW w:w="4021"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589BB28B" w14:textId="77777777" w:rsidR="00933A67" w:rsidRDefault="00000000">
            <w:pPr>
              <w:spacing w:after="40" w:line="248" w:lineRule="auto"/>
            </w:pPr>
            <w:r>
              <w:t>Policy (z. B. Goldene Regeln)</w:t>
            </w:r>
          </w:p>
        </w:tc>
        <w:tc>
          <w:tcPr>
            <w:tcW w:w="2556"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681D6D2A" w14:textId="77777777" w:rsidR="00933A67" w:rsidRDefault="00000000">
            <w:pPr>
              <w:spacing w:after="40" w:line="248" w:lineRule="auto"/>
            </w:pPr>
            <w:r>
              <w:t>Jahre</w:t>
            </w:r>
          </w:p>
        </w:tc>
        <w:tc>
          <w:tcPr>
            <w:tcW w:w="2972"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4BF1C8F6" w14:textId="77777777" w:rsidR="00933A67" w:rsidRDefault="00000000">
            <w:pPr>
              <w:spacing w:after="40" w:line="248" w:lineRule="auto"/>
            </w:pPr>
            <w:r>
              <w:t>Anhang</w:t>
            </w:r>
          </w:p>
        </w:tc>
      </w:tr>
      <w:tr w:rsidR="00933A67" w14:paraId="66A0BF15" w14:textId="77777777" w:rsidTr="00CD5D53">
        <w:tblPrEx>
          <w:tblCellMar>
            <w:top w:w="0" w:type="dxa"/>
            <w:bottom w:w="0" w:type="dxa"/>
          </w:tblCellMar>
        </w:tblPrEx>
        <w:tc>
          <w:tcPr>
            <w:tcW w:w="794"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37843DA6" w14:textId="77777777" w:rsidR="00933A67" w:rsidRDefault="00000000">
            <w:pPr>
              <w:spacing w:after="40" w:line="248" w:lineRule="auto"/>
            </w:pPr>
            <w:r>
              <w:rPr>
                <w:b/>
                <w:bCs/>
                <w:color w:val="0969DA"/>
              </w:rPr>
              <w:t>S2</w:t>
            </w:r>
          </w:p>
        </w:tc>
        <w:tc>
          <w:tcPr>
            <w:tcW w:w="4021"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673DE77D" w14:textId="77777777" w:rsidR="00933A67" w:rsidRDefault="00000000">
            <w:pPr>
              <w:spacing w:after="40" w:line="248" w:lineRule="auto"/>
            </w:pPr>
            <w:r>
              <w:t>Domänenmodell (Dimensionen guten Unterrichts)</w:t>
            </w:r>
          </w:p>
        </w:tc>
        <w:tc>
          <w:tcPr>
            <w:tcW w:w="2556"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4CE68C9D" w14:textId="77777777" w:rsidR="00933A67" w:rsidRDefault="00000000">
            <w:pPr>
              <w:spacing w:after="40" w:line="248" w:lineRule="auto"/>
            </w:pPr>
            <w:r>
              <w:t>Jahre</w:t>
            </w:r>
          </w:p>
        </w:tc>
        <w:tc>
          <w:tcPr>
            <w:tcW w:w="2972"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43AD3395" w14:textId="77777777" w:rsidR="00933A67" w:rsidRDefault="00000000">
            <w:pPr>
              <w:spacing w:after="40" w:line="248" w:lineRule="auto"/>
            </w:pPr>
            <w:r>
              <w:t>Anhang</w:t>
            </w:r>
          </w:p>
        </w:tc>
      </w:tr>
      <w:tr w:rsidR="00933A67" w14:paraId="0B86E6F9" w14:textId="77777777" w:rsidTr="00CD5D53">
        <w:tblPrEx>
          <w:tblCellMar>
            <w:top w:w="0" w:type="dxa"/>
            <w:bottom w:w="0" w:type="dxa"/>
          </w:tblCellMar>
        </w:tblPrEx>
        <w:tc>
          <w:tcPr>
            <w:tcW w:w="794"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3FCF6E4F" w14:textId="77777777" w:rsidR="00933A67" w:rsidRDefault="00000000">
            <w:pPr>
              <w:spacing w:after="40" w:line="248" w:lineRule="auto"/>
            </w:pPr>
            <w:r>
              <w:rPr>
                <w:b/>
                <w:bCs/>
                <w:color w:val="0969DA"/>
              </w:rPr>
              <w:t>S3</w:t>
            </w:r>
          </w:p>
        </w:tc>
        <w:tc>
          <w:tcPr>
            <w:tcW w:w="4021"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13C792D6" w14:textId="77777777" w:rsidR="00933A67" w:rsidRDefault="00000000">
            <w:pPr>
              <w:spacing w:after="40" w:line="248" w:lineRule="auto"/>
            </w:pPr>
            <w:r>
              <w:t>Akzeptanzkriterien (Qualitätsrubrik)</w:t>
            </w:r>
          </w:p>
        </w:tc>
        <w:tc>
          <w:tcPr>
            <w:tcW w:w="2556"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6A58CFD1" w14:textId="77777777" w:rsidR="00933A67" w:rsidRDefault="00000000">
            <w:pPr>
              <w:spacing w:after="40" w:line="248" w:lineRule="auto"/>
            </w:pPr>
            <w:r>
              <w:t>Jahre, je Revision</w:t>
            </w:r>
          </w:p>
        </w:tc>
        <w:tc>
          <w:tcPr>
            <w:tcW w:w="2972"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6C2967FB" w14:textId="77777777" w:rsidR="00933A67" w:rsidRDefault="00000000">
            <w:pPr>
              <w:spacing w:after="40" w:line="248" w:lineRule="auto"/>
            </w:pPr>
            <w:r>
              <w:t>Anhang</w:t>
            </w:r>
          </w:p>
        </w:tc>
      </w:tr>
      <w:tr w:rsidR="00933A67" w14:paraId="6E49B3C0" w14:textId="77777777" w:rsidTr="00CD5D53">
        <w:tblPrEx>
          <w:tblCellMar>
            <w:top w:w="0" w:type="dxa"/>
            <w:bottom w:w="0" w:type="dxa"/>
          </w:tblCellMar>
        </w:tblPrEx>
        <w:tc>
          <w:tcPr>
            <w:tcW w:w="794" w:type="dxa"/>
            <w:tcBorders>
              <w:top w:val="single" w:sz="4" w:space="0" w:color="D0D7DE"/>
              <w:left w:val="single" w:sz="4" w:space="0" w:color="D0D7DE"/>
              <w:bottom w:val="single" w:sz="4" w:space="0" w:color="D0D7DE"/>
              <w:right w:val="single" w:sz="4" w:space="0" w:color="D0D7DE"/>
            </w:tcBorders>
            <w:shd w:val="clear" w:color="auto" w:fill="DDF4FF"/>
            <w:tcMar>
              <w:top w:w="70" w:type="dxa"/>
              <w:left w:w="100" w:type="dxa"/>
              <w:bottom w:w="70" w:type="dxa"/>
              <w:right w:w="100" w:type="dxa"/>
            </w:tcMar>
          </w:tcPr>
          <w:p w14:paraId="51578964" w14:textId="77777777" w:rsidR="00933A67" w:rsidRDefault="00000000">
            <w:pPr>
              <w:spacing w:after="40" w:line="248" w:lineRule="auto"/>
            </w:pPr>
            <w:r>
              <w:rPr>
                <w:b/>
                <w:bCs/>
                <w:color w:val="0969DA"/>
              </w:rPr>
              <w:t>S4</w:t>
            </w:r>
          </w:p>
        </w:tc>
        <w:tc>
          <w:tcPr>
            <w:tcW w:w="4021" w:type="dxa"/>
            <w:tcBorders>
              <w:top w:val="single" w:sz="4" w:space="0" w:color="D0D7DE"/>
              <w:left w:val="single" w:sz="4" w:space="0" w:color="D0D7DE"/>
              <w:bottom w:val="single" w:sz="4" w:space="0" w:color="D0D7DE"/>
              <w:right w:val="single" w:sz="4" w:space="0" w:color="D0D7DE"/>
            </w:tcBorders>
            <w:shd w:val="clear" w:color="auto" w:fill="DDF4FF"/>
            <w:tcMar>
              <w:top w:w="70" w:type="dxa"/>
              <w:left w:w="100" w:type="dxa"/>
              <w:bottom w:w="70" w:type="dxa"/>
              <w:right w:w="100" w:type="dxa"/>
            </w:tcMar>
          </w:tcPr>
          <w:p w14:paraId="263E9E3E" w14:textId="77777777" w:rsidR="00933A67" w:rsidRDefault="00000000">
            <w:pPr>
              <w:spacing w:after="40" w:line="248" w:lineRule="auto"/>
            </w:pPr>
            <w:r>
              <w:rPr>
                <w:b/>
                <w:bCs/>
              </w:rPr>
              <w:t>Prozessdefinition (Masterprompt)</w:t>
            </w:r>
          </w:p>
        </w:tc>
        <w:tc>
          <w:tcPr>
            <w:tcW w:w="2556" w:type="dxa"/>
            <w:tcBorders>
              <w:top w:val="single" w:sz="4" w:space="0" w:color="D0D7DE"/>
              <w:left w:val="single" w:sz="4" w:space="0" w:color="D0D7DE"/>
              <w:bottom w:val="single" w:sz="4" w:space="0" w:color="D0D7DE"/>
              <w:right w:val="single" w:sz="4" w:space="0" w:color="D0D7DE"/>
            </w:tcBorders>
            <w:shd w:val="clear" w:color="auto" w:fill="DDF4FF"/>
            <w:tcMar>
              <w:top w:w="70" w:type="dxa"/>
              <w:left w:w="100" w:type="dxa"/>
              <w:bottom w:w="70" w:type="dxa"/>
              <w:right w:w="100" w:type="dxa"/>
            </w:tcMar>
          </w:tcPr>
          <w:p w14:paraId="4B496CFD" w14:textId="77777777" w:rsidR="00933A67" w:rsidRDefault="00000000">
            <w:pPr>
              <w:spacing w:after="40" w:line="248" w:lineRule="auto"/>
            </w:pPr>
            <w:r>
              <w:t>Monate</w:t>
            </w:r>
          </w:p>
        </w:tc>
        <w:tc>
          <w:tcPr>
            <w:tcW w:w="2972" w:type="dxa"/>
            <w:tcBorders>
              <w:top w:val="single" w:sz="4" w:space="0" w:color="D0D7DE"/>
              <w:left w:val="single" w:sz="4" w:space="0" w:color="D0D7DE"/>
              <w:bottom w:val="single" w:sz="4" w:space="0" w:color="D0D7DE"/>
              <w:right w:val="single" w:sz="4" w:space="0" w:color="D0D7DE"/>
            </w:tcBorders>
            <w:shd w:val="clear" w:color="auto" w:fill="DDF4FF"/>
            <w:tcMar>
              <w:top w:w="70" w:type="dxa"/>
              <w:left w:w="100" w:type="dxa"/>
              <w:bottom w:w="70" w:type="dxa"/>
              <w:right w:w="100" w:type="dxa"/>
            </w:tcMar>
          </w:tcPr>
          <w:p w14:paraId="5AE71627" w14:textId="77777777" w:rsidR="00933A67" w:rsidRDefault="00000000">
            <w:pPr>
              <w:spacing w:after="40" w:line="248" w:lineRule="auto"/>
            </w:pPr>
            <w:r>
              <w:rPr>
                <w:b/>
                <w:bCs/>
                <w:sz w:val="19"/>
                <w:szCs w:val="19"/>
              </w:rPr>
              <w:t>Systemprompt — Start</w:t>
            </w:r>
          </w:p>
        </w:tc>
      </w:tr>
      <w:tr w:rsidR="00933A67" w14:paraId="5C2A702D" w14:textId="77777777" w:rsidTr="00CD5D53">
        <w:tblPrEx>
          <w:tblCellMar>
            <w:top w:w="0" w:type="dxa"/>
            <w:bottom w:w="0" w:type="dxa"/>
          </w:tblCellMar>
        </w:tblPrEx>
        <w:tc>
          <w:tcPr>
            <w:tcW w:w="794"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1C81C7EF" w14:textId="77777777" w:rsidR="00933A67" w:rsidRDefault="00000000">
            <w:pPr>
              <w:spacing w:after="40" w:line="248" w:lineRule="auto"/>
            </w:pPr>
            <w:r>
              <w:rPr>
                <w:b/>
                <w:bCs/>
                <w:color w:val="0969DA"/>
              </w:rPr>
              <w:t>S5</w:t>
            </w:r>
          </w:p>
        </w:tc>
        <w:tc>
          <w:tcPr>
            <w:tcW w:w="4021"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39DFE6FA" w14:textId="77777777" w:rsidR="00933A67" w:rsidRDefault="00000000">
            <w:pPr>
              <w:spacing w:after="40" w:line="248" w:lineRule="auto"/>
            </w:pPr>
            <w:r>
              <w:t>Musterentwürfe (Few-Shots)</w:t>
            </w:r>
          </w:p>
        </w:tc>
        <w:tc>
          <w:tcPr>
            <w:tcW w:w="2556"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5DACE5C7" w14:textId="77777777" w:rsidR="00933A67" w:rsidRDefault="00000000">
            <w:pPr>
              <w:spacing w:after="40" w:line="248" w:lineRule="auto"/>
            </w:pPr>
            <w:r>
              <w:t>je Fachbereich</w:t>
            </w:r>
          </w:p>
        </w:tc>
        <w:tc>
          <w:tcPr>
            <w:tcW w:w="2972"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4CF7DEC8" w14:textId="77777777" w:rsidR="00933A67" w:rsidRDefault="00000000">
            <w:pPr>
              <w:spacing w:after="40" w:line="248" w:lineRule="auto"/>
            </w:pPr>
            <w:r>
              <w:t>Anhang (sobald da)</w:t>
            </w:r>
          </w:p>
        </w:tc>
      </w:tr>
      <w:tr w:rsidR="00933A67" w14:paraId="2225C3F7" w14:textId="77777777" w:rsidTr="00CD5D53">
        <w:tblPrEx>
          <w:tblCellMar>
            <w:top w:w="0" w:type="dxa"/>
            <w:bottom w:w="0" w:type="dxa"/>
          </w:tblCellMar>
        </w:tblPrEx>
        <w:tc>
          <w:tcPr>
            <w:tcW w:w="794"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631E6029" w14:textId="77777777" w:rsidR="00933A67" w:rsidRDefault="00000000">
            <w:pPr>
              <w:spacing w:after="40" w:line="248" w:lineRule="auto"/>
            </w:pPr>
            <w:r>
              <w:rPr>
                <w:b/>
                <w:bCs/>
                <w:color w:val="0969DA"/>
              </w:rPr>
              <w:t>S6</w:t>
            </w:r>
          </w:p>
        </w:tc>
        <w:tc>
          <w:tcPr>
            <w:tcW w:w="4021"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1F5C01BA" w14:textId="77777777" w:rsidR="00933A67" w:rsidRDefault="00000000">
            <w:pPr>
              <w:spacing w:after="40" w:line="248" w:lineRule="auto"/>
            </w:pPr>
            <w:r>
              <w:t>Sachanalyse zum Thema</w:t>
            </w:r>
          </w:p>
        </w:tc>
        <w:tc>
          <w:tcPr>
            <w:tcW w:w="2556"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27BB0793" w14:textId="77777777" w:rsidR="00933A67" w:rsidRDefault="00000000">
            <w:pPr>
              <w:spacing w:after="40" w:line="248" w:lineRule="auto"/>
            </w:pPr>
            <w:r>
              <w:t>je Thema</w:t>
            </w:r>
          </w:p>
        </w:tc>
        <w:tc>
          <w:tcPr>
            <w:tcW w:w="2972"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4D1E656C" w14:textId="77777777" w:rsidR="00933A67" w:rsidRDefault="00000000">
            <w:pPr>
              <w:spacing w:after="40" w:line="248" w:lineRule="auto"/>
            </w:pPr>
            <w:r>
              <w:t>Anhang (fallweise)</w:t>
            </w:r>
          </w:p>
        </w:tc>
      </w:tr>
      <w:tr w:rsidR="00933A67" w14:paraId="4F93AC52" w14:textId="77777777" w:rsidTr="00CD5D53">
        <w:tblPrEx>
          <w:tblCellMar>
            <w:top w:w="0" w:type="dxa"/>
            <w:bottom w:w="0" w:type="dxa"/>
          </w:tblCellMar>
        </w:tblPrEx>
        <w:tc>
          <w:tcPr>
            <w:tcW w:w="794"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1DDBAB81" w14:textId="77777777" w:rsidR="00933A67" w:rsidRDefault="00000000">
            <w:pPr>
              <w:spacing w:after="40" w:line="248" w:lineRule="auto"/>
            </w:pPr>
            <w:r>
              <w:rPr>
                <w:b/>
                <w:bCs/>
                <w:color w:val="0969DA"/>
              </w:rPr>
              <w:t>S7</w:t>
            </w:r>
          </w:p>
        </w:tc>
        <w:tc>
          <w:tcPr>
            <w:tcW w:w="4021"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0F4F465D" w14:textId="77777777" w:rsidR="00933A67" w:rsidRDefault="00000000">
            <w:pPr>
              <w:spacing w:after="40" w:line="248" w:lineRule="auto"/>
            </w:pPr>
            <w:r>
              <w:t>Instanzdaten (der konkrete Fall)</w:t>
            </w:r>
          </w:p>
        </w:tc>
        <w:tc>
          <w:tcPr>
            <w:tcW w:w="2556"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6F4B10BC" w14:textId="77777777" w:rsidR="00933A67" w:rsidRDefault="00000000">
            <w:pPr>
              <w:spacing w:after="40" w:line="248" w:lineRule="auto"/>
            </w:pPr>
            <w:r>
              <w:t>jede Planung</w:t>
            </w:r>
          </w:p>
        </w:tc>
        <w:tc>
          <w:tcPr>
            <w:tcW w:w="2972"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2DCDE9EB" w14:textId="77777777" w:rsidR="00933A67" w:rsidRDefault="00000000">
            <w:pPr>
              <w:spacing w:after="40" w:line="248" w:lineRule="auto"/>
            </w:pPr>
            <w:r>
              <w:t>keine Datei — im Dialog</w:t>
            </w:r>
          </w:p>
        </w:tc>
      </w:tr>
    </w:tbl>
    <w:p w14:paraId="6F46985C" w14:textId="77777777" w:rsidR="00933A67" w:rsidRDefault="00933A67">
      <w:pPr>
        <w:spacing w:after="80"/>
      </w:pPr>
    </w:p>
    <w:tbl>
      <w:tblPr>
        <w:tblW w:w="10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8"/>
      </w:tblGrid>
      <w:tr w:rsidR="00933A67" w14:paraId="0D0F9DF4" w14:textId="77777777" w:rsidTr="00CD5D53">
        <w:tblPrEx>
          <w:tblCellMar>
            <w:top w:w="0" w:type="dxa"/>
            <w:bottom w:w="0" w:type="dxa"/>
          </w:tblCellMar>
        </w:tblPrEx>
        <w:tc>
          <w:tcPr>
            <w:tcW w:w="10318" w:type="dxa"/>
            <w:tcBorders>
              <w:top w:val="single" w:sz="4" w:space="0" w:color="D0D7DE"/>
              <w:left w:val="single" w:sz="24" w:space="0" w:color="0969DA"/>
              <w:bottom w:val="single" w:sz="4" w:space="0" w:color="D0D7DE"/>
              <w:right w:val="single" w:sz="4" w:space="0" w:color="D0D7DE"/>
            </w:tcBorders>
            <w:shd w:val="clear" w:color="auto" w:fill="FFF8C5"/>
            <w:tcMar>
              <w:top w:w="110" w:type="dxa"/>
              <w:left w:w="150" w:type="dxa"/>
              <w:bottom w:w="110" w:type="dxa"/>
              <w:right w:w="150" w:type="dxa"/>
            </w:tcMar>
          </w:tcPr>
          <w:p w14:paraId="024FE1B5" w14:textId="77777777" w:rsidR="00933A67" w:rsidRDefault="00000000">
            <w:pPr>
              <w:spacing w:after="60"/>
            </w:pPr>
            <w:r>
              <w:rPr>
                <w:b/>
                <w:bCs/>
                <w:color w:val="0969DA"/>
                <w:sz w:val="20"/>
                <w:szCs w:val="20"/>
              </w:rPr>
              <w:t>Warum startet man mit „S4"?</w:t>
            </w:r>
          </w:p>
          <w:p w14:paraId="4D929FF7" w14:textId="77777777" w:rsidR="00933A67" w:rsidRDefault="00000000">
            <w:pPr>
              <w:spacing w:line="260" w:lineRule="auto"/>
            </w:pPr>
            <w:r>
              <w:t xml:space="preserve">Die S-Nummer ist </w:t>
            </w:r>
            <w:r>
              <w:rPr>
                <w:b/>
                <w:bCs/>
              </w:rPr>
              <w:t>keine Startreihenfolge, sondern eine Stabilitätsangabe</w:t>
            </w:r>
            <w:r>
              <w:t xml:space="preserve">: sortiert danach, wie selten sich eine Schicht ändert („Stabiles früh, Volatiles spät"). S4 liegt in der Mitte, weil der Prozess wandelbarer ist als die Grundsätze über ihm und stabiler als das Material unter ihm. Praktisch gilt einfach: </w:t>
            </w:r>
            <w:r>
              <w:rPr>
                <w:b/>
                <w:bCs/>
              </w:rPr>
              <w:t>Geladen wird immer die S4-Datei zuerst (als Systemprompt), alles andere hängt man an.</w:t>
            </w:r>
          </w:p>
        </w:tc>
      </w:tr>
    </w:tbl>
    <w:p w14:paraId="2B2B4E3E" w14:textId="77777777" w:rsidR="00933A67" w:rsidRDefault="00933A67">
      <w:pPr>
        <w:spacing w:after="140"/>
      </w:pPr>
    </w:p>
    <w:p w14:paraId="5FE3DAB4" w14:textId="77777777" w:rsidR="009B16C4" w:rsidRDefault="009B16C4">
      <w:pPr>
        <w:rPr>
          <w:b/>
          <w:bCs/>
          <w:color w:val="0969DA"/>
          <w:sz w:val="26"/>
          <w:szCs w:val="26"/>
        </w:rPr>
      </w:pPr>
      <w:r>
        <w:rPr>
          <w:b/>
          <w:bCs/>
          <w:color w:val="0969DA"/>
          <w:sz w:val="26"/>
          <w:szCs w:val="26"/>
        </w:rPr>
        <w:br w:type="page"/>
      </w:r>
    </w:p>
    <w:p w14:paraId="376567A2" w14:textId="7E6E1335" w:rsidR="00933A67" w:rsidRDefault="00000000">
      <w:pPr>
        <w:pStyle w:val="Heading1"/>
        <w:spacing w:before="300" w:after="140"/>
      </w:pPr>
      <w:r>
        <w:rPr>
          <w:b/>
          <w:bCs/>
          <w:color w:val="0969DA"/>
          <w:sz w:val="26"/>
          <w:szCs w:val="26"/>
        </w:rPr>
        <w:lastRenderedPageBreak/>
        <w:t xml:space="preserve">3  </w:t>
      </w:r>
      <w:r>
        <w:rPr>
          <w:b/>
          <w:bCs/>
          <w:color w:val="1F2328"/>
          <w:sz w:val="26"/>
          <w:szCs w:val="26"/>
        </w:rPr>
        <w:t>Die Ensembles und die Ordnerregel</w:t>
      </w:r>
    </w:p>
    <w:p w14:paraId="484573CA" w14:textId="77777777" w:rsidR="00933A67" w:rsidRDefault="00000000">
      <w:pPr>
        <w:spacing w:after="150" w:line="272" w:lineRule="auto"/>
      </w:pPr>
      <w:r>
        <w:t xml:space="preserve">Das Paket enthält mehrere </w:t>
      </w:r>
      <w:r>
        <w:rPr>
          <w:b/>
          <w:bCs/>
        </w:rPr>
        <w:t>Ensembles</w:t>
      </w:r>
      <w:r>
        <w:t xml:space="preserve"> — je eines pro Anwendungsfall. Ein Ensemble ist der komplette Dateisatz, der zusammen geladen wird; jedes hat einen eigenen, in sich vollständigen Ordner:</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1"/>
      </w:tblGrid>
      <w:tr w:rsidR="00933A67" w14:paraId="7C370B41" w14:textId="77777777" w:rsidTr="00CD5D53">
        <w:tblPrEx>
          <w:tblCellMar>
            <w:top w:w="0" w:type="dxa"/>
            <w:bottom w:w="0" w:type="dxa"/>
          </w:tblCellMar>
        </w:tblPrEx>
        <w:tc>
          <w:tcPr>
            <w:tcW w:w="10201"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50" w:type="dxa"/>
              <w:bottom w:w="100" w:type="dxa"/>
              <w:right w:w="150" w:type="dxa"/>
            </w:tcMar>
          </w:tcPr>
          <w:p w14:paraId="2B77E03B" w14:textId="77777777" w:rsidR="00933A67" w:rsidRDefault="00000000">
            <w:pPr>
              <w:spacing w:after="16" w:line="236" w:lineRule="auto"/>
            </w:pPr>
            <w:r>
              <w:rPr>
                <w:rFonts w:ascii="Consolas" w:eastAsia="Consolas" w:hAnsi="Consolas" w:cs="Consolas"/>
                <w:sz w:val="18"/>
                <w:szCs w:val="18"/>
              </w:rPr>
              <w:t>sdd-unterrichtsplanung/</w:t>
            </w:r>
          </w:p>
          <w:p w14:paraId="30E1F4BA" w14:textId="77777777" w:rsidR="00933A67" w:rsidRDefault="00000000">
            <w:pPr>
              <w:spacing w:after="16" w:line="236" w:lineRule="auto"/>
            </w:pPr>
            <w:r>
              <w:rPr>
                <w:rFonts w:ascii="Consolas" w:eastAsia="Consolas" w:hAnsi="Consolas" w:cs="Consolas"/>
                <w:sz w:val="18"/>
                <w:szCs w:val="18"/>
              </w:rPr>
              <w:t xml:space="preserve">├─ ensemble_ki-integration/    </w:t>
            </w:r>
            <w:r>
              <w:rPr>
                <w:i/>
                <w:iCs/>
                <w:color w:val="57606A"/>
                <w:sz w:val="18"/>
                <w:szCs w:val="18"/>
              </w:rPr>
              <w:t>KI-Themen im Fachunterricht (Review: 10 Kriterien)</w:t>
            </w:r>
          </w:p>
          <w:p w14:paraId="67764D5F" w14:textId="77777777" w:rsidR="00933A67" w:rsidRDefault="00000000">
            <w:pPr>
              <w:spacing w:after="16" w:line="236" w:lineRule="auto"/>
            </w:pPr>
            <w:r>
              <w:rPr>
                <w:rFonts w:ascii="Consolas" w:eastAsia="Consolas" w:hAnsi="Consolas" w:cs="Consolas"/>
                <w:sz w:val="18"/>
                <w:szCs w:val="18"/>
              </w:rPr>
              <w:t xml:space="preserve">├─ ensemble_generisch/         </w:t>
            </w:r>
            <w:r>
              <w:rPr>
                <w:i/>
                <w:iCs/>
                <w:color w:val="57606A"/>
                <w:sz w:val="18"/>
                <w:szCs w:val="18"/>
              </w:rPr>
              <w:t>Standard-Lehrplanthemen (Review: 8 Kriterien)</w:t>
            </w:r>
          </w:p>
          <w:p w14:paraId="4083327E" w14:textId="77777777" w:rsidR="00933A67" w:rsidRDefault="00000000">
            <w:pPr>
              <w:spacing w:after="16" w:line="236" w:lineRule="auto"/>
            </w:pPr>
            <w:r>
              <w:rPr>
                <w:rFonts w:ascii="Consolas" w:eastAsia="Consolas" w:hAnsi="Consolas" w:cs="Consolas"/>
                <w:sz w:val="18"/>
                <w:szCs w:val="18"/>
              </w:rPr>
              <w:t xml:space="preserve">├─ je_planung/                 </w:t>
            </w:r>
            <w:r>
              <w:rPr>
                <w:i/>
                <w:iCs/>
                <w:color w:val="57606A"/>
                <w:sz w:val="18"/>
                <w:szCs w:val="18"/>
              </w:rPr>
              <w:t>S0-Lehrpläne und S6-Sachanalysen, fallweise dazuladen</w:t>
            </w:r>
          </w:p>
          <w:p w14:paraId="0434E4B8" w14:textId="77777777" w:rsidR="00933A67" w:rsidRDefault="00000000">
            <w:pPr>
              <w:spacing w:after="16" w:line="236" w:lineRule="auto"/>
            </w:pPr>
            <w:r>
              <w:rPr>
                <w:rFonts w:ascii="Consolas" w:eastAsia="Consolas" w:hAnsi="Consolas" w:cs="Consolas"/>
                <w:sz w:val="18"/>
                <w:szCs w:val="18"/>
              </w:rPr>
              <w:t xml:space="preserve">└─ meta/                       </w:t>
            </w:r>
            <w:r>
              <w:rPr>
                <w:i/>
                <w:iCs/>
                <w:color w:val="57606A"/>
                <w:sz w:val="18"/>
                <w:szCs w:val="18"/>
              </w:rPr>
              <w:t>Dokumentation für Menschen — NIE in den Kontext</w:t>
            </w:r>
          </w:p>
        </w:tc>
      </w:tr>
    </w:tbl>
    <w:p w14:paraId="66B7C774" w14:textId="77777777" w:rsidR="00933A67" w:rsidRDefault="00933A67">
      <w:pPr>
        <w:spacing w:after="100"/>
      </w:pPr>
    </w:p>
    <w:tbl>
      <w:tblPr>
        <w:tblW w:w="10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6"/>
      </w:tblGrid>
      <w:tr w:rsidR="00933A67" w14:paraId="12251A5E" w14:textId="77777777" w:rsidTr="00CD5D53">
        <w:tblPrEx>
          <w:tblCellMar>
            <w:top w:w="0" w:type="dxa"/>
            <w:bottom w:w="0" w:type="dxa"/>
          </w:tblCellMar>
        </w:tblPrEx>
        <w:tc>
          <w:tcPr>
            <w:tcW w:w="10176" w:type="dxa"/>
            <w:tcBorders>
              <w:top w:val="single" w:sz="4" w:space="0" w:color="D0D7DE"/>
              <w:left w:val="single" w:sz="24" w:space="0" w:color="0969DA"/>
              <w:bottom w:val="single" w:sz="4" w:space="0" w:color="D0D7DE"/>
              <w:right w:val="single" w:sz="4" w:space="0" w:color="D0D7DE"/>
            </w:tcBorders>
            <w:shd w:val="clear" w:color="auto" w:fill="DDF4FF"/>
            <w:tcMar>
              <w:top w:w="110" w:type="dxa"/>
              <w:left w:w="150" w:type="dxa"/>
              <w:bottom w:w="110" w:type="dxa"/>
              <w:right w:w="150" w:type="dxa"/>
            </w:tcMar>
          </w:tcPr>
          <w:p w14:paraId="336B9D4F" w14:textId="77777777" w:rsidR="00933A67" w:rsidRDefault="00000000">
            <w:pPr>
              <w:spacing w:after="60"/>
            </w:pPr>
            <w:r>
              <w:rPr>
                <w:b/>
                <w:bCs/>
                <w:color w:val="0969DA"/>
                <w:sz w:val="20"/>
                <w:szCs w:val="20"/>
              </w:rPr>
              <w:t>Die Ordnerregel</w:t>
            </w:r>
          </w:p>
          <w:p w14:paraId="427EB651" w14:textId="77777777" w:rsidR="00933A67" w:rsidRDefault="00000000">
            <w:pPr>
              <w:spacing w:line="260" w:lineRule="auto"/>
            </w:pPr>
            <w:r>
              <w:t xml:space="preserve">Was im Ensemble-Ordner liegt, wird komplett geladen: die S4-Datei als Systemprompt, alle übrigen als Anhänge, dazu fallweise Lehrplan und Sachanalyse aus </w:t>
            </w:r>
            <w:r>
              <w:rPr>
                <w:rFonts w:ascii="Consolas" w:eastAsia="Consolas" w:hAnsi="Consolas" w:cs="Consolas"/>
                <w:sz w:val="20"/>
                <w:szCs w:val="20"/>
              </w:rPr>
              <w:t>je_planung/</w:t>
            </w:r>
            <w:r>
              <w:t xml:space="preserve">. Was in </w:t>
            </w:r>
            <w:r>
              <w:rPr>
                <w:rFonts w:ascii="Consolas" w:eastAsia="Consolas" w:hAnsi="Consolas" w:cs="Consolas"/>
                <w:sz w:val="20"/>
                <w:szCs w:val="20"/>
              </w:rPr>
              <w:t>meta/</w:t>
            </w:r>
            <w:r>
              <w:t xml:space="preserve"> liegt, wird niemals geladen. Wer sich an diese eine Regel hält, kann nichts falsch zusammenstellen.</w:t>
            </w:r>
          </w:p>
        </w:tc>
      </w:tr>
    </w:tbl>
    <w:p w14:paraId="347152EE" w14:textId="77777777" w:rsidR="00933A67" w:rsidRDefault="00933A67">
      <w:pPr>
        <w:spacing w:after="140"/>
      </w:pPr>
    </w:p>
    <w:p w14:paraId="7A873293" w14:textId="77777777" w:rsidR="00933A67" w:rsidRDefault="00000000">
      <w:pPr>
        <w:spacing w:after="150" w:line="272" w:lineRule="auto"/>
      </w:pPr>
      <w:r>
        <w:t xml:space="preserve">Woran man die Ensembles unterscheidet: Bei </w:t>
      </w:r>
      <w:r>
        <w:rPr>
          <w:b/>
          <w:bCs/>
        </w:rPr>
        <w:t>KI-Integration</w:t>
      </w:r>
      <w:r>
        <w:t xml:space="preserve"> ist KI der Unterrichtsgegenstand (der Dialog erfragt ein KI-Thema, der Entwurf enthält Kompetenzdomäne E/G/B/V und eingebaute Ethik-Reflexion). Bei </w:t>
      </w:r>
      <w:r>
        <w:rPr>
          <w:b/>
          <w:bCs/>
        </w:rPr>
        <w:t>generisch</w:t>
      </w:r>
      <w:r>
        <w:t xml:space="preserve"> geht es um ganz normale Lehrplanthemen — gleiches Prozessskelett, ohne KI-Spezifika, Policy-Schicht leer. Rund 80 % der Inhalte sind identisch: Wer eines beherrscht, beherrscht beide.</w:t>
      </w:r>
    </w:p>
    <w:p w14:paraId="2FAC217F" w14:textId="77777777" w:rsidR="00933A67" w:rsidRDefault="00000000">
      <w:pPr>
        <w:pStyle w:val="Heading1"/>
        <w:spacing w:before="300" w:after="140"/>
      </w:pPr>
      <w:r>
        <w:rPr>
          <w:b/>
          <w:bCs/>
          <w:color w:val="0969DA"/>
          <w:sz w:val="26"/>
          <w:szCs w:val="26"/>
        </w:rPr>
        <w:t xml:space="preserve">4  </w:t>
      </w:r>
      <w:r>
        <w:rPr>
          <w:b/>
          <w:bCs/>
          <w:color w:val="1F2328"/>
          <w:sz w:val="26"/>
          <w:szCs w:val="26"/>
        </w:rPr>
        <w:t>Benutzung in drei Schritten</w:t>
      </w:r>
    </w:p>
    <w:p w14:paraId="798DD4C8" w14:textId="77777777" w:rsidR="00933A67" w:rsidRDefault="00000000">
      <w:pPr>
        <w:spacing w:after="150" w:line="272" w:lineRule="auto"/>
      </w:pPr>
      <w:r>
        <w:rPr>
          <w:b/>
          <w:bCs/>
          <w:color w:val="0969DA"/>
        </w:rPr>
        <w:t xml:space="preserve">Schritt 1 — Kontext bestücken.  </w:t>
      </w:r>
      <w:r>
        <w:t>Passendes Ensemble wählen, Ordnerregel anwenden. Den Lehrplan (S0) beizulegen lohnt sich besonders: Er macht die curriculare Verankerung prüfbar — ohne ihn darf das Modell keine Lehrplan-Bezüge behaupten und muss die Lücke ausweisen.</w:t>
      </w:r>
    </w:p>
    <w:p w14:paraId="51290014" w14:textId="77777777" w:rsidR="00933A67" w:rsidRDefault="00000000">
      <w:pPr>
        <w:spacing w:after="150" w:line="272" w:lineRule="auto"/>
      </w:pPr>
      <w:r>
        <w:rPr>
          <w:b/>
          <w:bCs/>
          <w:color w:val="0969DA"/>
        </w:rPr>
        <w:t xml:space="preserve">Schritt 2 — Dialog führen.  </w:t>
      </w:r>
      <w:r>
        <w:t>Der Prozess läuft in fünf Phasen; das Modell wechselt dabei die Rolle, die Lehrkraft bleibt durchgängig Entscheidungsinstanz. Gates werden nur durch ausdrückliche Freigabe passiert — Schweigen ist keine Zustimmung.</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8"/>
        <w:gridCol w:w="1782"/>
        <w:gridCol w:w="5953"/>
      </w:tblGrid>
      <w:tr w:rsidR="00933A67" w14:paraId="270B6F2D" w14:textId="77777777" w:rsidTr="009B16C4">
        <w:tblPrEx>
          <w:tblCellMar>
            <w:top w:w="0" w:type="dxa"/>
            <w:bottom w:w="0" w:type="dxa"/>
          </w:tblCellMar>
        </w:tblPrEx>
        <w:trPr>
          <w:tblHeader/>
        </w:trPr>
        <w:tc>
          <w:tcPr>
            <w:tcW w:w="2608" w:type="dxa"/>
            <w:tcBorders>
              <w:top w:val="single" w:sz="4" w:space="0" w:color="D0D7DE"/>
              <w:left w:val="single" w:sz="4" w:space="0" w:color="D0D7DE"/>
              <w:bottom w:val="single" w:sz="4" w:space="0" w:color="D0D7DE"/>
              <w:right w:val="single" w:sz="4" w:space="0" w:color="D0D7DE"/>
            </w:tcBorders>
            <w:shd w:val="clear" w:color="auto" w:fill="F6F8FA"/>
            <w:tcMar>
              <w:top w:w="70" w:type="dxa"/>
              <w:left w:w="100" w:type="dxa"/>
              <w:bottom w:w="70" w:type="dxa"/>
              <w:right w:w="100" w:type="dxa"/>
            </w:tcMar>
          </w:tcPr>
          <w:p w14:paraId="2CF4F009" w14:textId="77777777" w:rsidR="00933A67" w:rsidRDefault="00000000">
            <w:pPr>
              <w:spacing w:after="40" w:line="248" w:lineRule="auto"/>
            </w:pPr>
            <w:r>
              <w:rPr>
                <w:b/>
                <w:bCs/>
                <w:sz w:val="19"/>
                <w:szCs w:val="19"/>
              </w:rPr>
              <w:t>Phase</w:t>
            </w:r>
          </w:p>
        </w:tc>
        <w:tc>
          <w:tcPr>
            <w:tcW w:w="1782" w:type="dxa"/>
            <w:tcBorders>
              <w:top w:val="single" w:sz="4" w:space="0" w:color="D0D7DE"/>
              <w:left w:val="single" w:sz="4" w:space="0" w:color="D0D7DE"/>
              <w:bottom w:val="single" w:sz="4" w:space="0" w:color="D0D7DE"/>
              <w:right w:val="single" w:sz="4" w:space="0" w:color="D0D7DE"/>
            </w:tcBorders>
            <w:shd w:val="clear" w:color="auto" w:fill="F6F8FA"/>
            <w:tcMar>
              <w:top w:w="70" w:type="dxa"/>
              <w:left w:w="100" w:type="dxa"/>
              <w:bottom w:w="70" w:type="dxa"/>
              <w:right w:w="100" w:type="dxa"/>
            </w:tcMar>
          </w:tcPr>
          <w:p w14:paraId="4BA94AE8" w14:textId="77777777" w:rsidR="00933A67" w:rsidRDefault="00000000">
            <w:pPr>
              <w:spacing w:after="40" w:line="248" w:lineRule="auto"/>
            </w:pPr>
            <w:r>
              <w:rPr>
                <w:b/>
                <w:bCs/>
                <w:sz w:val="19"/>
                <w:szCs w:val="19"/>
              </w:rPr>
              <w:t>LLM-Rolle</w:t>
            </w:r>
          </w:p>
        </w:tc>
        <w:tc>
          <w:tcPr>
            <w:tcW w:w="5953" w:type="dxa"/>
            <w:tcBorders>
              <w:top w:val="single" w:sz="4" w:space="0" w:color="D0D7DE"/>
              <w:left w:val="single" w:sz="4" w:space="0" w:color="D0D7DE"/>
              <w:bottom w:val="single" w:sz="4" w:space="0" w:color="D0D7DE"/>
              <w:right w:val="single" w:sz="4" w:space="0" w:color="D0D7DE"/>
            </w:tcBorders>
            <w:shd w:val="clear" w:color="auto" w:fill="F6F8FA"/>
            <w:tcMar>
              <w:top w:w="70" w:type="dxa"/>
              <w:left w:w="100" w:type="dxa"/>
              <w:bottom w:w="70" w:type="dxa"/>
              <w:right w:w="100" w:type="dxa"/>
            </w:tcMar>
          </w:tcPr>
          <w:p w14:paraId="38AB849E" w14:textId="77777777" w:rsidR="00933A67" w:rsidRDefault="00000000">
            <w:pPr>
              <w:spacing w:after="40" w:line="248" w:lineRule="auto"/>
            </w:pPr>
            <w:r>
              <w:rPr>
                <w:b/>
                <w:bCs/>
                <w:sz w:val="19"/>
                <w:szCs w:val="19"/>
              </w:rPr>
              <w:t>Gate (Entscheidung der Lehrkraft)</w:t>
            </w:r>
          </w:p>
        </w:tc>
      </w:tr>
      <w:tr w:rsidR="00933A67" w14:paraId="32420417" w14:textId="77777777" w:rsidTr="009B16C4">
        <w:tblPrEx>
          <w:tblCellMar>
            <w:top w:w="0" w:type="dxa"/>
            <w:bottom w:w="0" w:type="dxa"/>
          </w:tblCellMar>
        </w:tblPrEx>
        <w:tc>
          <w:tcPr>
            <w:tcW w:w="2608"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7CB4D9A6" w14:textId="77777777" w:rsidR="00933A67" w:rsidRDefault="00000000">
            <w:pPr>
              <w:spacing w:after="40" w:line="248" w:lineRule="auto"/>
            </w:pPr>
            <w:r>
              <w:rPr>
                <w:b/>
                <w:bCs/>
                <w:sz w:val="19"/>
                <w:szCs w:val="19"/>
              </w:rPr>
              <w:t>1 Anforderungserhebung</w:t>
            </w:r>
          </w:p>
        </w:tc>
        <w:tc>
          <w:tcPr>
            <w:tcW w:w="1782"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410EC05F" w14:textId="77777777" w:rsidR="00933A67" w:rsidRDefault="00000000">
            <w:pPr>
              <w:spacing w:after="40" w:line="248" w:lineRule="auto"/>
            </w:pPr>
            <w:r>
              <w:rPr>
                <w:sz w:val="19"/>
                <w:szCs w:val="19"/>
              </w:rPr>
              <w:t>Interviewer</w:t>
            </w:r>
          </w:p>
        </w:tc>
        <w:tc>
          <w:tcPr>
            <w:tcW w:w="5953"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6DF6DB25" w14:textId="77777777" w:rsidR="00933A67" w:rsidRDefault="00000000">
            <w:pPr>
              <w:spacing w:after="40" w:line="248" w:lineRule="auto"/>
            </w:pPr>
            <w:r>
              <w:rPr>
                <w:sz w:val="19"/>
                <w:szCs w:val="19"/>
              </w:rPr>
              <w:t>Rahmenbedingungen bestätigt</w:t>
            </w:r>
          </w:p>
        </w:tc>
      </w:tr>
      <w:tr w:rsidR="00933A67" w14:paraId="15073857" w14:textId="77777777" w:rsidTr="009B16C4">
        <w:tblPrEx>
          <w:tblCellMar>
            <w:top w:w="0" w:type="dxa"/>
            <w:bottom w:w="0" w:type="dxa"/>
          </w:tblCellMar>
        </w:tblPrEx>
        <w:tc>
          <w:tcPr>
            <w:tcW w:w="2608"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29A3C48B" w14:textId="77777777" w:rsidR="00933A67" w:rsidRDefault="00000000">
            <w:pPr>
              <w:spacing w:after="40" w:line="248" w:lineRule="auto"/>
            </w:pPr>
            <w:r>
              <w:rPr>
                <w:b/>
                <w:bCs/>
                <w:sz w:val="19"/>
                <w:szCs w:val="19"/>
              </w:rPr>
              <w:t>2 Kernspezifikation</w:t>
            </w:r>
          </w:p>
        </w:tc>
        <w:tc>
          <w:tcPr>
            <w:tcW w:w="1782"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0AB7C857" w14:textId="77777777" w:rsidR="00933A67" w:rsidRDefault="00000000">
            <w:pPr>
              <w:spacing w:after="40" w:line="248" w:lineRule="auto"/>
            </w:pPr>
            <w:r>
              <w:rPr>
                <w:sz w:val="19"/>
                <w:szCs w:val="19"/>
              </w:rPr>
              <w:t>Berater</w:t>
            </w:r>
          </w:p>
        </w:tc>
        <w:tc>
          <w:tcPr>
            <w:tcW w:w="5953"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478D5BCA" w14:textId="77777777" w:rsidR="00933A67" w:rsidRDefault="00000000">
            <w:pPr>
              <w:spacing w:after="40" w:line="248" w:lineRule="auto"/>
            </w:pPr>
            <w:r>
              <w:rPr>
                <w:sz w:val="19"/>
                <w:szCs w:val="19"/>
              </w:rPr>
              <w:t>Kernidee ausdrücklich freigegeben — vorher kein Entwurf</w:t>
            </w:r>
          </w:p>
        </w:tc>
      </w:tr>
      <w:tr w:rsidR="00933A67" w14:paraId="693B8D0C" w14:textId="77777777" w:rsidTr="009B16C4">
        <w:tblPrEx>
          <w:tblCellMar>
            <w:top w:w="0" w:type="dxa"/>
            <w:bottom w:w="0" w:type="dxa"/>
          </w:tblCellMar>
        </w:tblPrEx>
        <w:tc>
          <w:tcPr>
            <w:tcW w:w="2608"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510920EB" w14:textId="77777777" w:rsidR="00933A67" w:rsidRDefault="00000000">
            <w:pPr>
              <w:spacing w:after="40" w:line="248" w:lineRule="auto"/>
            </w:pPr>
            <w:r>
              <w:rPr>
                <w:b/>
                <w:bCs/>
                <w:sz w:val="19"/>
                <w:szCs w:val="19"/>
              </w:rPr>
              <w:t>3 Implementierung</w:t>
            </w:r>
          </w:p>
        </w:tc>
        <w:tc>
          <w:tcPr>
            <w:tcW w:w="1782"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6640C3DE" w14:textId="77777777" w:rsidR="00933A67" w:rsidRDefault="00000000">
            <w:pPr>
              <w:spacing w:after="40" w:line="248" w:lineRule="auto"/>
            </w:pPr>
            <w:r>
              <w:rPr>
                <w:sz w:val="19"/>
                <w:szCs w:val="19"/>
              </w:rPr>
              <w:t>Implementer</w:t>
            </w:r>
          </w:p>
        </w:tc>
        <w:tc>
          <w:tcPr>
            <w:tcW w:w="5953"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5DA6F616" w14:textId="77777777" w:rsidR="00933A67" w:rsidRDefault="00000000">
            <w:pPr>
              <w:spacing w:after="40" w:line="248" w:lineRule="auto"/>
            </w:pPr>
            <w:r>
              <w:rPr>
                <w:sz w:val="19"/>
                <w:szCs w:val="19"/>
              </w:rPr>
              <w:t>— (noch keine Abnahme)</w:t>
            </w:r>
          </w:p>
        </w:tc>
      </w:tr>
      <w:tr w:rsidR="00933A67" w14:paraId="085D1CFC" w14:textId="77777777" w:rsidTr="009B16C4">
        <w:tblPrEx>
          <w:tblCellMar>
            <w:top w:w="0" w:type="dxa"/>
            <w:bottom w:w="0" w:type="dxa"/>
          </w:tblCellMar>
        </w:tblPrEx>
        <w:tc>
          <w:tcPr>
            <w:tcW w:w="2608"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2C9EE425" w14:textId="77777777" w:rsidR="00933A67" w:rsidRDefault="00000000">
            <w:pPr>
              <w:spacing w:after="40" w:line="248" w:lineRule="auto"/>
            </w:pPr>
            <w:r>
              <w:rPr>
                <w:b/>
                <w:bCs/>
                <w:sz w:val="19"/>
                <w:szCs w:val="19"/>
              </w:rPr>
              <w:t>4 Review</w:t>
            </w:r>
          </w:p>
        </w:tc>
        <w:tc>
          <w:tcPr>
            <w:tcW w:w="1782"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66A330A9" w14:textId="77777777" w:rsidR="00933A67" w:rsidRDefault="00000000">
            <w:pPr>
              <w:spacing w:after="40" w:line="248" w:lineRule="auto"/>
            </w:pPr>
            <w:r>
              <w:rPr>
                <w:sz w:val="19"/>
                <w:szCs w:val="19"/>
              </w:rPr>
              <w:t>Reviewer</w:t>
            </w:r>
          </w:p>
        </w:tc>
        <w:tc>
          <w:tcPr>
            <w:tcW w:w="5953"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1D8EBFB4" w14:textId="77777777" w:rsidR="00933A67" w:rsidRDefault="00000000">
            <w:pPr>
              <w:spacing w:after="40" w:line="248" w:lineRule="auto"/>
            </w:pPr>
            <w:r>
              <w:rPr>
                <w:sz w:val="19"/>
                <w:szCs w:val="19"/>
              </w:rPr>
              <w:t>Abnahme oder Change Requests (Prüfprotokoll gegen die Rubrik)</w:t>
            </w:r>
          </w:p>
        </w:tc>
      </w:tr>
      <w:tr w:rsidR="00933A67" w14:paraId="2863CE84" w14:textId="77777777" w:rsidTr="009B16C4">
        <w:tblPrEx>
          <w:tblCellMar>
            <w:top w:w="0" w:type="dxa"/>
            <w:bottom w:w="0" w:type="dxa"/>
          </w:tblCellMar>
        </w:tblPrEx>
        <w:tc>
          <w:tcPr>
            <w:tcW w:w="2608"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772D92AF" w14:textId="77777777" w:rsidR="00933A67" w:rsidRDefault="00000000">
            <w:pPr>
              <w:spacing w:after="40" w:line="248" w:lineRule="auto"/>
            </w:pPr>
            <w:r>
              <w:rPr>
                <w:b/>
                <w:bCs/>
                <w:sz w:val="19"/>
                <w:szCs w:val="19"/>
              </w:rPr>
              <w:t>5 Revision</w:t>
            </w:r>
          </w:p>
        </w:tc>
        <w:tc>
          <w:tcPr>
            <w:tcW w:w="1782"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2A614B0C" w14:textId="77777777" w:rsidR="00933A67" w:rsidRDefault="00000000">
            <w:pPr>
              <w:spacing w:after="40" w:line="248" w:lineRule="auto"/>
            </w:pPr>
            <w:r>
              <w:rPr>
                <w:sz w:val="19"/>
                <w:szCs w:val="19"/>
              </w:rPr>
              <w:t>Implementer</w:t>
            </w:r>
          </w:p>
        </w:tc>
        <w:tc>
          <w:tcPr>
            <w:tcW w:w="5953"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7188CE6B" w14:textId="77777777" w:rsidR="00933A67" w:rsidRDefault="00000000">
            <w:pPr>
              <w:spacing w:after="40" w:line="248" w:lineRule="auto"/>
            </w:pPr>
            <w:r>
              <w:rPr>
                <w:sz w:val="19"/>
                <w:szCs w:val="19"/>
              </w:rPr>
              <w:t>erneuter Review, bis fertig — jede Fassung mit Änderungsprotokoll</w:t>
            </w:r>
          </w:p>
        </w:tc>
      </w:tr>
    </w:tbl>
    <w:p w14:paraId="17F66A28" w14:textId="77777777" w:rsidR="00933A67" w:rsidRDefault="00933A67">
      <w:pPr>
        <w:spacing w:after="80"/>
      </w:pPr>
    </w:p>
    <w:p w14:paraId="63534FF4" w14:textId="77777777" w:rsidR="00933A67" w:rsidRDefault="00000000">
      <w:pPr>
        <w:spacing w:after="150" w:line="272" w:lineRule="auto"/>
      </w:pPr>
      <w:r>
        <w:rPr>
          <w:b/>
          <w:bCs/>
          <w:color w:val="0969DA"/>
        </w:rPr>
        <w:t xml:space="preserve">Schritt 3 — Abnahme.  </w:t>
      </w:r>
      <w:r>
        <w:t>Fertig ist ein Entwurf, wenn jedes Kriterium der Rubrik entweder erfüllt ist oder eine dokumentierte, begründete Abweichung vorliegt (Waiver): Das Modell hat auf den Konflikt hingewiesen, die Lehrkraft hat entschieden, die Entscheidung steht im Entwurf. Die Rubrik ist Maßstab, nicht Zwangsjacke.</w:t>
      </w:r>
    </w:p>
    <w:p w14:paraId="42D816C8" w14:textId="77777777" w:rsidR="009B16C4" w:rsidRDefault="009B16C4">
      <w:pPr>
        <w:spacing w:after="150" w:line="272" w:lineRule="auto"/>
      </w:pPr>
    </w:p>
    <w:p w14:paraId="43A425A9" w14:textId="77777777" w:rsidR="00933A67" w:rsidRDefault="00000000">
      <w:pPr>
        <w:pStyle w:val="Heading1"/>
        <w:spacing w:before="300" w:after="140"/>
      </w:pPr>
      <w:r>
        <w:rPr>
          <w:b/>
          <w:bCs/>
          <w:color w:val="0969DA"/>
          <w:sz w:val="26"/>
          <w:szCs w:val="26"/>
        </w:rPr>
        <w:t xml:space="preserve">5  </w:t>
      </w:r>
      <w:r>
        <w:rPr>
          <w:b/>
          <w:bCs/>
          <w:color w:val="1F2328"/>
          <w:sz w:val="26"/>
          <w:szCs w:val="26"/>
        </w:rPr>
        <w:t>Vier Dinge, die man nicht tun sollte</w:t>
      </w:r>
    </w:p>
    <w:p w14:paraId="0B45AB46" w14:textId="77777777" w:rsidR="00933A67" w:rsidRDefault="00000000">
      <w:pPr>
        <w:spacing w:after="80" w:line="272" w:lineRule="auto"/>
      </w:pPr>
      <w:r>
        <w:t>•  Meta-Dokumente in den Kontext laden — sie verwässern die Spezifikation (Kontexthygiene).</w:t>
      </w:r>
    </w:p>
    <w:p w14:paraId="0AC85EF8" w14:textId="77777777" w:rsidR="00933A67" w:rsidRDefault="00000000">
      <w:pPr>
        <w:spacing w:after="80" w:line="272" w:lineRule="auto"/>
      </w:pPr>
      <w:r>
        <w:t>•  Gates überspringen oder als passiert behandeln, weil niemand widersprochen hat.</w:t>
      </w:r>
    </w:p>
    <w:p w14:paraId="43F00EF5" w14:textId="434A0E5F" w:rsidR="00933A67" w:rsidRDefault="00000000">
      <w:pPr>
        <w:spacing w:after="80" w:line="272" w:lineRule="auto"/>
      </w:pPr>
      <w:r>
        <w:t>•  Lehrplan-Bezüge glauben, wenn kein Lehrplan (S0) beigelegt war — dann sind sie Themenfeld-Vermutungen.</w:t>
      </w:r>
    </w:p>
    <w:p w14:paraId="6B7AB60D" w14:textId="20B4A67E" w:rsidR="00933A67" w:rsidRDefault="00000000">
      <w:pPr>
        <w:spacing w:after="80" w:line="272" w:lineRule="auto"/>
      </w:pPr>
      <w:r>
        <w:t>•  Die Spezifikation im Chat umformulieren statt in der Datei — die Datei ist die Quelle, der Chat ist flüchtig.</w:t>
      </w:r>
    </w:p>
    <w:sectPr w:rsidR="00933A67" w:rsidSect="00CD5D53">
      <w:headerReference w:type="default" r:id="rId7"/>
      <w:footerReference w:type="default" r:id="rId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49B467" w14:textId="77777777" w:rsidR="00F814FC" w:rsidRDefault="00F814FC">
      <w:r>
        <w:separator/>
      </w:r>
    </w:p>
  </w:endnote>
  <w:endnote w:type="continuationSeparator" w:id="0">
    <w:p w14:paraId="76460B06" w14:textId="77777777" w:rsidR="00F814FC" w:rsidRDefault="00F81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37A068" w14:textId="77777777" w:rsidR="00933A67" w:rsidRDefault="00000000">
    <w:pPr>
      <w:pBdr>
        <w:top w:val="single" w:sz="4" w:space="0" w:color="D0D7DE"/>
      </w:pBdr>
      <w:tabs>
        <w:tab w:val="right" w:pos="9356"/>
      </w:tabs>
      <w:spacing w:before="110"/>
    </w:pPr>
    <w:r>
      <w:rPr>
        <w:color w:val="57606A"/>
        <w:sz w:val="17"/>
        <w:szCs w:val="17"/>
      </w:rPr>
      <w:t>Meta-Dokument · Juli 2026 · nie in den LLM-Kontext laden</w:t>
    </w:r>
    <w:r>
      <w:rPr>
        <w:color w:val="57606A"/>
        <w:sz w:val="17"/>
        <w:szCs w:val="17"/>
      </w:rPr>
      <w:tab/>
      <w:t xml:space="preserve">Seite </w:t>
    </w:r>
    <w:r>
      <w:rPr>
        <w:color w:val="57606A"/>
        <w:sz w:val="17"/>
        <w:szCs w:val="17"/>
      </w:rPr>
      <w:fldChar w:fldCharType="begin"/>
    </w:r>
    <w:r>
      <w:rPr>
        <w:color w:val="57606A"/>
        <w:sz w:val="17"/>
        <w:szCs w:val="17"/>
      </w:rPr>
      <w:instrText>PAGE</w:instrText>
    </w:r>
    <w:r>
      <w:rPr>
        <w:color w:val="57606A"/>
        <w:sz w:val="17"/>
        <w:szCs w:val="17"/>
      </w:rPr>
      <w:fldChar w:fldCharType="separate"/>
    </w:r>
    <w:r w:rsidR="00CD5D53">
      <w:rPr>
        <w:noProof/>
        <w:color w:val="57606A"/>
        <w:sz w:val="17"/>
        <w:szCs w:val="17"/>
      </w:rPr>
      <w:t>1</w:t>
    </w:r>
    <w:r>
      <w:rPr>
        <w:color w:val="57606A"/>
        <w:sz w:val="17"/>
        <w:szCs w:val="17"/>
      </w:rPr>
      <w:fldChar w:fldCharType="end"/>
    </w:r>
    <w:r>
      <w:rPr>
        <w:color w:val="57606A"/>
        <w:sz w:val="17"/>
        <w:szCs w:val="17"/>
      </w:rPr>
      <w:t xml:space="preserve"> von </w:t>
    </w:r>
    <w:r>
      <w:rPr>
        <w:color w:val="57606A"/>
        <w:sz w:val="17"/>
        <w:szCs w:val="17"/>
      </w:rPr>
      <w:fldChar w:fldCharType="begin"/>
    </w:r>
    <w:r>
      <w:rPr>
        <w:color w:val="57606A"/>
        <w:sz w:val="17"/>
        <w:szCs w:val="17"/>
      </w:rPr>
      <w:instrText>NUMPAGES</w:instrText>
    </w:r>
    <w:r>
      <w:rPr>
        <w:color w:val="57606A"/>
        <w:sz w:val="17"/>
        <w:szCs w:val="17"/>
      </w:rPr>
      <w:fldChar w:fldCharType="separate"/>
    </w:r>
    <w:r w:rsidR="00CD5D53">
      <w:rPr>
        <w:noProof/>
        <w:color w:val="57606A"/>
        <w:sz w:val="17"/>
        <w:szCs w:val="17"/>
      </w:rPr>
      <w:t>2</w:t>
    </w:r>
    <w:r>
      <w:rPr>
        <w:color w:val="57606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CABF44" w14:textId="77777777" w:rsidR="00F814FC" w:rsidRDefault="00F814FC">
      <w:r>
        <w:separator/>
      </w:r>
    </w:p>
  </w:footnote>
  <w:footnote w:type="continuationSeparator" w:id="0">
    <w:p w14:paraId="24B04255" w14:textId="77777777" w:rsidR="00F814FC" w:rsidRDefault="00F814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53B7B" w14:textId="77777777" w:rsidR="00933A67" w:rsidRDefault="00000000">
    <w:pPr>
      <w:pBdr>
        <w:bottom w:val="single" w:sz="4" w:space="0" w:color="D0D7DE"/>
      </w:pBdr>
      <w:tabs>
        <w:tab w:val="right" w:pos="9356"/>
      </w:tabs>
      <w:spacing w:after="110"/>
    </w:pPr>
    <w:r>
      <w:rPr>
        <w:color w:val="57606A"/>
        <w:sz w:val="17"/>
        <w:szCs w:val="17"/>
      </w:rPr>
      <w:t>SDD-Paket · Betriebsanweisung</w:t>
    </w:r>
    <w:r>
      <w:rPr>
        <w:color w:val="0969DA"/>
        <w:sz w:val="17"/>
        <w:szCs w:val="17"/>
      </w:rPr>
      <w:tab/>
      <w:t>iludis.de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2BE50E8"/>
    <w:multiLevelType w:val="hybridMultilevel"/>
    <w:tmpl w:val="70B2FFC4"/>
    <w:lvl w:ilvl="0" w:tplc="C448A780">
      <w:start w:val="1"/>
      <w:numFmt w:val="bullet"/>
      <w:lvlText w:val="●"/>
      <w:lvlJc w:val="left"/>
      <w:pPr>
        <w:ind w:left="720" w:hanging="360"/>
      </w:pPr>
    </w:lvl>
    <w:lvl w:ilvl="1" w:tplc="8B4ED29C">
      <w:start w:val="1"/>
      <w:numFmt w:val="bullet"/>
      <w:lvlText w:val="○"/>
      <w:lvlJc w:val="left"/>
      <w:pPr>
        <w:ind w:left="1440" w:hanging="360"/>
      </w:pPr>
    </w:lvl>
    <w:lvl w:ilvl="2" w:tplc="36DAD50C">
      <w:start w:val="1"/>
      <w:numFmt w:val="bullet"/>
      <w:lvlText w:val="■"/>
      <w:lvlJc w:val="left"/>
      <w:pPr>
        <w:ind w:left="2160" w:hanging="360"/>
      </w:pPr>
    </w:lvl>
    <w:lvl w:ilvl="3" w:tplc="ECF62EFC">
      <w:start w:val="1"/>
      <w:numFmt w:val="bullet"/>
      <w:lvlText w:val="●"/>
      <w:lvlJc w:val="left"/>
      <w:pPr>
        <w:ind w:left="2880" w:hanging="360"/>
      </w:pPr>
    </w:lvl>
    <w:lvl w:ilvl="4" w:tplc="EEACCCD8">
      <w:start w:val="1"/>
      <w:numFmt w:val="bullet"/>
      <w:lvlText w:val="○"/>
      <w:lvlJc w:val="left"/>
      <w:pPr>
        <w:ind w:left="3600" w:hanging="360"/>
      </w:pPr>
    </w:lvl>
    <w:lvl w:ilvl="5" w:tplc="21F897BA">
      <w:start w:val="1"/>
      <w:numFmt w:val="bullet"/>
      <w:lvlText w:val="■"/>
      <w:lvlJc w:val="left"/>
      <w:pPr>
        <w:ind w:left="4320" w:hanging="360"/>
      </w:pPr>
    </w:lvl>
    <w:lvl w:ilvl="6" w:tplc="28387566">
      <w:start w:val="1"/>
      <w:numFmt w:val="bullet"/>
      <w:lvlText w:val="●"/>
      <w:lvlJc w:val="left"/>
      <w:pPr>
        <w:ind w:left="5040" w:hanging="360"/>
      </w:pPr>
    </w:lvl>
    <w:lvl w:ilvl="7" w:tplc="46BC1F8E">
      <w:start w:val="1"/>
      <w:numFmt w:val="bullet"/>
      <w:lvlText w:val="●"/>
      <w:lvlJc w:val="left"/>
      <w:pPr>
        <w:ind w:left="5760" w:hanging="360"/>
      </w:pPr>
    </w:lvl>
    <w:lvl w:ilvl="8" w:tplc="08D65C5C">
      <w:start w:val="1"/>
      <w:numFmt w:val="bullet"/>
      <w:lvlText w:val="●"/>
      <w:lvlJc w:val="left"/>
      <w:pPr>
        <w:ind w:left="6480" w:hanging="360"/>
      </w:pPr>
    </w:lvl>
  </w:abstractNum>
  <w:num w:numId="1" w16cid:durableId="47233189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A67"/>
    <w:rsid w:val="00933A67"/>
    <w:rsid w:val="009B16C4"/>
    <w:rsid w:val="00BF73B4"/>
    <w:rsid w:val="00CD5D53"/>
    <w:rsid w:val="00F814FC"/>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41212BD3"/>
  <w15:docId w15:val="{0275AC17-AC5A-E347-862F-42E45115E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F2328"/>
        <w:sz w:val="21"/>
        <w:szCs w:val="21"/>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713</Words>
  <Characters>4748</Characters>
  <Application>Microsoft Office Word</Application>
  <DocSecurity>0</DocSecurity>
  <Lines>131</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2</cp:revision>
  <dcterms:created xsi:type="dcterms:W3CDTF">2026-07-14T15:06:00Z</dcterms:created>
  <dcterms:modified xsi:type="dcterms:W3CDTF">2026-07-15T12:52:00Z</dcterms:modified>
</cp:coreProperties>
</file>