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850828" w14:textId="77777777" w:rsidR="00D86402" w:rsidRDefault="00000000">
      <w:pPr>
        <w:spacing w:after="60"/>
      </w:pPr>
      <w:r>
        <w:rPr>
          <w:b/>
          <w:bCs/>
          <w:sz w:val="40"/>
          <w:szCs w:val="40"/>
        </w:rPr>
        <w:t>Weiterentwicklung</w:t>
      </w:r>
    </w:p>
    <w:p w14:paraId="5396BEF2" w14:textId="77777777" w:rsidR="00D86402" w:rsidRDefault="00000000">
      <w:pPr>
        <w:spacing w:after="60"/>
      </w:pPr>
      <w:r>
        <w:rPr>
          <w:color w:val="0969DA"/>
          <w:sz w:val="23"/>
          <w:szCs w:val="23"/>
        </w:rPr>
        <w:t>SDD-Spezifikationspaket Unterrichtsplanung — anpassen, forken, ausbauen</w:t>
      </w:r>
    </w:p>
    <w:p w14:paraId="592830A4" w14:textId="77777777" w:rsidR="00D86402" w:rsidRDefault="00000000">
      <w:pPr>
        <w:spacing w:after="120"/>
      </w:pPr>
      <w:r>
        <w:rPr>
          <w:i/>
          <w:iCs/>
          <w:color w:val="57606A"/>
          <w:sz w:val="19"/>
          <w:szCs w:val="19"/>
        </w:rPr>
        <w:t>Meta-Dokument für Menschen — gehört niemals in den LLM-Kontext</w:t>
      </w:r>
    </w:p>
    <w:p w14:paraId="020C419B" w14:textId="77777777" w:rsidR="00D86402" w:rsidRDefault="00000000">
      <w:pPr>
        <w:pStyle w:val="Heading1"/>
        <w:spacing w:before="300" w:after="140"/>
      </w:pPr>
      <w:r>
        <w:rPr>
          <w:b/>
          <w:bCs/>
          <w:color w:val="0969DA"/>
          <w:sz w:val="26"/>
          <w:szCs w:val="26"/>
        </w:rPr>
        <w:t xml:space="preserve">1  </w:t>
      </w:r>
      <w:r>
        <w:rPr>
          <w:b/>
          <w:bCs/>
          <w:color w:val="1F2328"/>
          <w:sz w:val="26"/>
          <w:szCs w:val="26"/>
        </w:rPr>
        <w:t>Drei Fälle der Änderung</w:t>
      </w:r>
    </w:p>
    <w:p w14:paraId="2B3D9952" w14:textId="77777777" w:rsidR="00D86402" w:rsidRDefault="00000000">
      <w:pPr>
        <w:spacing w:after="150" w:line="272" w:lineRule="auto"/>
      </w:pPr>
      <w:r>
        <w:rPr>
          <w:b/>
          <w:bCs/>
          <w:color w:val="0969DA"/>
        </w:rPr>
        <w:t xml:space="preserve">Fall A — Ein Artefakt pflegen.  </w:t>
      </w:r>
      <w:r>
        <w:t>Inhaltliche Verbesserung innerhalb einer Variante (Kriterium schärfen, Formulierung korrigieren). Vorgehen: Datei ändern, Version im Frontmatter hochzählen, Changelog-Zeile ergänzen — und prüfen, ob die Traceability-Matrix in S4 nachgezogen werden muss.</w:t>
      </w:r>
    </w:p>
    <w:p w14:paraId="752FB99A" w14:textId="77777777" w:rsidR="00D86402" w:rsidRDefault="00000000">
      <w:pPr>
        <w:spacing w:after="150" w:line="272" w:lineRule="auto"/>
      </w:pPr>
      <w:r>
        <w:rPr>
          <w:b/>
          <w:bCs/>
          <w:color w:val="0969DA"/>
        </w:rPr>
        <w:t xml:space="preserve">Fall B — Eine neue Variante (neues Ensemble).  </w:t>
      </w:r>
      <w:r>
        <w:t>Ein neuer Anwendungsfall braucht einen eigenen Dateisatz. Dafür gibt es den Workflow in Abschnitt 3 und die Änderungsmuster in Abschnitt 2.</w:t>
      </w:r>
    </w:p>
    <w:p w14:paraId="42F03F7B" w14:textId="77777777" w:rsidR="00D86402" w:rsidRDefault="00000000">
      <w:pPr>
        <w:spacing w:after="150" w:line="272" w:lineRule="auto"/>
      </w:pPr>
      <w:r>
        <w:rPr>
          <w:b/>
          <w:bCs/>
          <w:color w:val="0969DA"/>
        </w:rPr>
        <w:t xml:space="preserve">Fall C — Architekturwechsel.  </w:t>
      </w:r>
      <w:r>
        <w:t>Wenn die Variantenzahl wächst, stellt sich die Frage Fork oder gemeinsamer Kern mit Erweiterungsmodulen — siehe Abschnitt 5.</w:t>
      </w:r>
    </w:p>
    <w:p w14:paraId="15C0392A" w14:textId="77777777" w:rsidR="00D86402" w:rsidRDefault="00000000">
      <w:pPr>
        <w:pStyle w:val="Heading1"/>
        <w:spacing w:before="300" w:after="140"/>
      </w:pPr>
      <w:r>
        <w:rPr>
          <w:b/>
          <w:bCs/>
          <w:color w:val="0969DA"/>
          <w:sz w:val="26"/>
          <w:szCs w:val="26"/>
        </w:rPr>
        <w:t xml:space="preserve">2  </w:t>
      </w:r>
      <w:r>
        <w:rPr>
          <w:b/>
          <w:bCs/>
          <w:color w:val="1F2328"/>
          <w:sz w:val="26"/>
          <w:szCs w:val="26"/>
        </w:rPr>
        <w:t>Die fünf Änderungsmuster</w:t>
      </w:r>
    </w:p>
    <w:p w14:paraId="0A5DADD1" w14:textId="78D1FDC0" w:rsidR="00D86402" w:rsidRDefault="004331EF">
      <w:pPr>
        <w:spacing w:after="150" w:line="272" w:lineRule="auto"/>
      </w:pPr>
      <w:r>
        <w:t>D</w:t>
      </w:r>
      <w:r w:rsidR="00000000">
        <w:t>as übertragbare Handwerkszeug für jede Anpassung:</w:t>
      </w:r>
    </w:p>
    <w:p w14:paraId="46E1EF2F" w14:textId="77777777" w:rsidR="00D86402" w:rsidRDefault="00000000">
      <w:pPr>
        <w:spacing w:after="110" w:line="272" w:lineRule="auto"/>
      </w:pPr>
      <w:r>
        <w:rPr>
          <w:b/>
          <w:bCs/>
        </w:rPr>
        <w:t xml:space="preserve">1  Entfernen mit ID-Reservierung.  </w:t>
      </w:r>
      <w:r>
        <w:t>Entfallende Kriterien und Constraints hinterlassen eine markierte Lücke, keine Umnummerierung. So bleiben Traceability und Datei-Vergleiche über alle Varianten stabil (Beispiel: A3, A4, C-5 sind in der generischen Variante reserviert, nicht neu vergeben).</w:t>
      </w:r>
    </w:p>
    <w:p w14:paraId="64A1CA1E" w14:textId="77777777" w:rsidR="00D86402" w:rsidRDefault="00000000">
      <w:pPr>
        <w:spacing w:after="110" w:line="272" w:lineRule="auto"/>
      </w:pPr>
      <w:r>
        <w:rPr>
          <w:b/>
          <w:bCs/>
        </w:rPr>
        <w:t xml:space="preserve">2  Generalisieren.  </w:t>
      </w:r>
      <w:r>
        <w:t>Spezifischen Begriff durch den Oberbegriff ersetzen — Regelstruktur bleibt, Geltungsbereich weitet sich („Tool-zentriert" → „methodenzentriert").</w:t>
      </w:r>
    </w:p>
    <w:p w14:paraId="2DD3DE41" w14:textId="067A8CA2" w:rsidR="00D86402" w:rsidRDefault="00000000">
      <w:pPr>
        <w:spacing w:after="110" w:line="272" w:lineRule="auto"/>
      </w:pPr>
      <w:r>
        <w:rPr>
          <w:b/>
          <w:bCs/>
        </w:rPr>
        <w:t xml:space="preserve">3  Ersetzen bei Strukturerhalt.  </w:t>
      </w:r>
      <w:r>
        <w:t>Fachspezifische Bausteine bekommen ein strukturgleiches Gegenstück: gleiche Position im Prozess, gleiches Gate, anderer Inhalt.</w:t>
      </w:r>
    </w:p>
    <w:p w14:paraId="34023908" w14:textId="77777777" w:rsidR="00D86402" w:rsidRDefault="00000000">
      <w:pPr>
        <w:spacing w:after="110" w:line="272" w:lineRule="auto"/>
      </w:pPr>
      <w:r>
        <w:rPr>
          <w:b/>
          <w:bCs/>
        </w:rPr>
        <w:t xml:space="preserve">4  Bindung lösen, Steckplatz erhalten.  </w:t>
      </w:r>
      <w:r>
        <w:t>Schichten werden entkoppelt, nicht gelöscht. Der leere S1-Steckplatz der generischen Variante kann jederzeit neu belegt werden — Architektur überlebt den Anwendungsfall.</w:t>
      </w:r>
    </w:p>
    <w:p w14:paraId="5452C471" w14:textId="77777777" w:rsidR="00D86402" w:rsidRDefault="00000000">
      <w:pPr>
        <w:spacing w:after="110" w:line="272" w:lineRule="auto"/>
      </w:pPr>
      <w:r>
        <w:rPr>
          <w:b/>
          <w:bCs/>
        </w:rPr>
        <w:t xml:space="preserve">5  Rolle aufwerten.  </w:t>
      </w:r>
      <w:r>
        <w:t>Entfällt eine Schicht, wird ihre Funktion explizit einem anderen Artefakt zugewiesen — nie stillschweigend fallen gelassen (die Leitprinzipien übernehmen in der generischen Variante die Policy-Rolle und wurden dafür als LP 1–8 nummeriert).</w:t>
      </w:r>
    </w:p>
    <w:p w14:paraId="06470968" w14:textId="77777777" w:rsidR="00D86402" w:rsidRDefault="00D86402">
      <w:pPr>
        <w:spacing w:after="60"/>
      </w:pPr>
    </w:p>
    <w:p w14:paraId="6E4092E6" w14:textId="77777777" w:rsidR="00D86402" w:rsidRDefault="00000000">
      <w:pPr>
        <w:pStyle w:val="Heading1"/>
        <w:spacing w:before="300" w:after="140"/>
      </w:pPr>
      <w:r>
        <w:rPr>
          <w:b/>
          <w:bCs/>
          <w:color w:val="0969DA"/>
          <w:sz w:val="26"/>
          <w:szCs w:val="26"/>
        </w:rPr>
        <w:t xml:space="preserve">3  </w:t>
      </w:r>
      <w:r>
        <w:rPr>
          <w:b/>
          <w:bCs/>
          <w:color w:val="1F2328"/>
          <w:sz w:val="26"/>
          <w:szCs w:val="26"/>
        </w:rPr>
        <w:t>Der Varianten-Workflow: sieben Schritte</w:t>
      </w:r>
    </w:p>
    <w:p w14:paraId="3E5083A1" w14:textId="77777777" w:rsidR="00D86402" w:rsidRDefault="00000000">
      <w:pPr>
        <w:spacing w:after="110" w:line="272" w:lineRule="auto"/>
      </w:pPr>
      <w:r>
        <w:rPr>
          <w:b/>
          <w:bCs/>
          <w:color w:val="0969DA"/>
        </w:rPr>
        <w:t xml:space="preserve">1 Zieldefinition.  </w:t>
      </w:r>
      <w:r>
        <w:t>In 2–3 Sätzen: Wofür ist das neue Ensemble, was unterscheidet es? Geforkt wird vom nächstverwandten Ensemble — nicht automatisch vom Original.</w:t>
      </w:r>
    </w:p>
    <w:p w14:paraId="31D69DEB" w14:textId="77777777" w:rsidR="00D86402" w:rsidRDefault="00000000">
      <w:pPr>
        <w:spacing w:after="110" w:line="272" w:lineRule="auto"/>
      </w:pPr>
      <w:r>
        <w:rPr>
          <w:b/>
          <w:bCs/>
          <w:color w:val="0969DA"/>
        </w:rPr>
        <w:t xml:space="preserve">2 Variabilitätsanalyse.  </w:t>
      </w:r>
      <w:r>
        <w:t>Ausgangs-Ensemble Stelle für Stelle klassifizieren: invariant / generalisierbar / ersetzbar / entfallend / neu. Diese Tabelle ist die Spezifikation des Forks — sie entsteht vor dem Editieren.</w:t>
      </w:r>
    </w:p>
    <w:p w14:paraId="1174FF77" w14:textId="77777777" w:rsidR="00D86402" w:rsidRDefault="00000000">
      <w:pPr>
        <w:spacing w:after="110" w:line="272" w:lineRule="auto"/>
      </w:pPr>
      <w:r>
        <w:rPr>
          <w:b/>
          <w:bCs/>
          <w:color w:val="0969DA"/>
        </w:rPr>
        <w:t xml:space="preserve">3 Ordner anlegen.  </w:t>
      </w:r>
      <w:r>
        <w:t>Neuen Ordner ensemble_&lt;name&gt;/ erstellen, Ausgangs-Ensemble komplett hineinkopieren, Dateisuffixe und Frontmatter (variante, fork-von, Versionssuffix) setzen.</w:t>
      </w:r>
    </w:p>
    <w:p w14:paraId="50792975" w14:textId="77777777" w:rsidR="00D86402" w:rsidRDefault="00000000">
      <w:pPr>
        <w:spacing w:after="110" w:line="272" w:lineRule="auto"/>
      </w:pPr>
      <w:r>
        <w:rPr>
          <w:b/>
          <w:bCs/>
          <w:color w:val="0969DA"/>
        </w:rPr>
        <w:t xml:space="preserve">4 Umsetzen.  </w:t>
      </w:r>
      <w:r>
        <w:t>Die Tabelle abarbeiten — nach den fünf Änderungsmustern, Dateien zeilenparallel zur Vorlage halten, an Entfall-Stellen knappe Marker setzen.</w:t>
      </w:r>
    </w:p>
    <w:p w14:paraId="5338544E" w14:textId="77777777" w:rsidR="00D86402" w:rsidRDefault="00000000">
      <w:pPr>
        <w:spacing w:after="110" w:line="272" w:lineRule="auto"/>
      </w:pPr>
      <w:r>
        <w:rPr>
          <w:b/>
          <w:bCs/>
          <w:color w:val="0969DA"/>
        </w:rPr>
        <w:t xml:space="preserve">5 Konsistenz prüfen.  </w:t>
      </w:r>
      <w:r>
        <w:t>Traceability geschlossen? Volltextsuche nach entfernten Begriffen und IDs. Kriterienzahlen in Review, Definition of Done, Bezugsrahmen nachgezogen? Werkzeug-Diff gelesen: Jede Diff-Zeile muss einer Tabellenzeile aus Schritt 2 entsprechen.</w:t>
      </w:r>
    </w:p>
    <w:p w14:paraId="33071645" w14:textId="77777777" w:rsidR="00D86402" w:rsidRDefault="00000000">
      <w:pPr>
        <w:spacing w:after="110" w:line="272" w:lineRule="auto"/>
      </w:pPr>
      <w:r>
        <w:rPr>
          <w:b/>
          <w:bCs/>
          <w:color w:val="0969DA"/>
        </w:rPr>
        <w:t xml:space="preserve">6 Dokumentieren.  </w:t>
      </w:r>
      <w:r>
        <w:t>Ladekonfiguration im README ergänzen, Versionsstand einfrieren (Git-Commit oder Tag).</w:t>
      </w:r>
    </w:p>
    <w:p w14:paraId="31EE180E" w14:textId="77777777" w:rsidR="00D86402" w:rsidRDefault="00000000">
      <w:pPr>
        <w:spacing w:after="110" w:line="272" w:lineRule="auto"/>
      </w:pPr>
      <w:r>
        <w:rPr>
          <w:b/>
          <w:bCs/>
          <w:color w:val="0969DA"/>
        </w:rPr>
        <w:t xml:space="preserve">7 Probelauf.  </w:t>
      </w:r>
      <w:r>
        <w:t>Eine vollständige Testplanung: Lebt das LLM Phasen und Gates? Fragt es nirgends nach Dingen, die es in dieser Variante nicht gibt? Greift der Review mit dem neuen Kriteriensatz? Erst dann ist das Ensemble einsatzbereit.</w:t>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6"/>
      </w:tblGrid>
      <w:tr w:rsidR="00D86402" w14:paraId="7FC5D849" w14:textId="77777777" w:rsidTr="004331EF">
        <w:tblPrEx>
          <w:tblCellMar>
            <w:top w:w="0" w:type="dxa"/>
            <w:bottom w:w="0" w:type="dxa"/>
          </w:tblCellMar>
        </w:tblPrEx>
        <w:tc>
          <w:tcPr>
            <w:tcW w:w="10176" w:type="dxa"/>
            <w:tcBorders>
              <w:top w:val="single" w:sz="4" w:space="0" w:color="D0D7DE"/>
              <w:left w:val="single" w:sz="24" w:space="0" w:color="0969DA"/>
              <w:bottom w:val="single" w:sz="4" w:space="0" w:color="D0D7DE"/>
              <w:right w:val="single" w:sz="4" w:space="0" w:color="D0D7DE"/>
            </w:tcBorders>
            <w:shd w:val="clear" w:color="auto" w:fill="FFF8C5"/>
            <w:tcMar>
              <w:top w:w="110" w:type="dxa"/>
              <w:left w:w="150" w:type="dxa"/>
              <w:bottom w:w="110" w:type="dxa"/>
              <w:right w:w="150" w:type="dxa"/>
            </w:tcMar>
          </w:tcPr>
          <w:p w14:paraId="161D9366" w14:textId="77777777" w:rsidR="00D86402" w:rsidRDefault="00000000">
            <w:pPr>
              <w:spacing w:after="60"/>
            </w:pPr>
            <w:r>
              <w:rPr>
                <w:b/>
                <w:bCs/>
                <w:color w:val="0969DA"/>
                <w:sz w:val="20"/>
                <w:szCs w:val="20"/>
              </w:rPr>
              <w:lastRenderedPageBreak/>
              <w:t>Merksatz</w:t>
            </w:r>
          </w:p>
          <w:p w14:paraId="07AC8062" w14:textId="77777777" w:rsidR="00D86402" w:rsidRDefault="00000000">
            <w:pPr>
              <w:spacing w:line="260" w:lineRule="auto"/>
            </w:pPr>
            <w:r>
              <w:t>Die Variabilitätstabelle vor der Umsetzung ist die Spezifikation, der Werkzeug-Diff nach der Umsetzung ist der Test. Wenn beide deckungsgleich sind, ist der Fork kontrolliert — alles andere ist „mal eben anpassen".</w:t>
            </w:r>
          </w:p>
        </w:tc>
      </w:tr>
    </w:tbl>
    <w:p w14:paraId="64075A8F" w14:textId="77777777" w:rsidR="00D86402" w:rsidRDefault="00D86402">
      <w:pPr>
        <w:spacing w:after="140"/>
      </w:pPr>
    </w:p>
    <w:p w14:paraId="092A0B53" w14:textId="2E465254" w:rsidR="00D86402" w:rsidRDefault="00000000">
      <w:pPr>
        <w:pStyle w:val="Heading1"/>
        <w:spacing w:before="300" w:after="140"/>
      </w:pPr>
      <w:r>
        <w:rPr>
          <w:b/>
          <w:bCs/>
          <w:color w:val="0969DA"/>
          <w:sz w:val="26"/>
          <w:szCs w:val="26"/>
        </w:rPr>
        <w:t xml:space="preserve">4  </w:t>
      </w:r>
      <w:r>
        <w:rPr>
          <w:b/>
          <w:bCs/>
          <w:color w:val="1F2328"/>
          <w:sz w:val="26"/>
          <w:szCs w:val="26"/>
        </w:rPr>
        <w:t>Fallstudie: Fork KI-Integration → generisch</w:t>
      </w:r>
    </w:p>
    <w:p w14:paraId="2D012DCB" w14:textId="77777777" w:rsidR="00D86402" w:rsidRDefault="00000000">
      <w:pPr>
        <w:spacing w:after="150" w:line="272" w:lineRule="auto"/>
      </w:pPr>
      <w:r>
        <w:t xml:space="preserve">Der erste Fork des Pakets als Referenz. Kernbefund: Rund </w:t>
      </w:r>
      <w:r>
        <w:rPr>
          <w:b/>
          <w:bCs/>
        </w:rPr>
        <w:t>80 % des Systems sind invariant</w:t>
      </w:r>
      <w:r>
        <w:t xml:space="preserve"> — Phasenmodell, Gates, Waiver, Änderungsprotokoll, Definition of Done, Schutz-Constraints und die meisten Kriterien blieben wörtlich gleich. Variantenspezifisch sind nur S1, S3 und S4. Die wichtigsten Eingriffe:</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8222"/>
      </w:tblGrid>
      <w:tr w:rsidR="00D86402" w14:paraId="1C5E5EF6" w14:textId="77777777" w:rsidTr="00D023E1">
        <w:tblPrEx>
          <w:tblCellMar>
            <w:top w:w="0" w:type="dxa"/>
            <w:bottom w:w="0" w:type="dxa"/>
          </w:tblCellMar>
        </w:tblPrEx>
        <w:trPr>
          <w:tblHeader/>
        </w:trPr>
        <w:tc>
          <w:tcPr>
            <w:tcW w:w="1838"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214698E5" w14:textId="77777777" w:rsidR="00D86402" w:rsidRDefault="00000000">
            <w:pPr>
              <w:spacing w:after="40" w:line="248" w:lineRule="auto"/>
            </w:pPr>
            <w:r>
              <w:rPr>
                <w:b/>
                <w:bCs/>
                <w:sz w:val="19"/>
                <w:szCs w:val="19"/>
              </w:rPr>
              <w:t>Stelle</w:t>
            </w:r>
          </w:p>
        </w:tc>
        <w:tc>
          <w:tcPr>
            <w:tcW w:w="8222" w:type="dxa"/>
            <w:tcBorders>
              <w:top w:val="single" w:sz="4" w:space="0" w:color="D0D7DE"/>
              <w:left w:val="single" w:sz="4" w:space="0" w:color="D0D7DE"/>
              <w:bottom w:val="single" w:sz="4" w:space="0" w:color="D0D7DE"/>
              <w:right w:val="single" w:sz="4" w:space="0" w:color="D0D7DE"/>
            </w:tcBorders>
            <w:shd w:val="clear" w:color="auto" w:fill="F6F8FA"/>
            <w:tcMar>
              <w:top w:w="70" w:type="dxa"/>
              <w:left w:w="100" w:type="dxa"/>
              <w:bottom w:w="70" w:type="dxa"/>
              <w:right w:w="100" w:type="dxa"/>
            </w:tcMar>
          </w:tcPr>
          <w:p w14:paraId="2C643BFF" w14:textId="77777777" w:rsidR="00D86402" w:rsidRDefault="00000000">
            <w:pPr>
              <w:spacing w:after="40" w:line="248" w:lineRule="auto"/>
            </w:pPr>
            <w:r>
              <w:rPr>
                <w:b/>
                <w:bCs/>
                <w:sz w:val="19"/>
                <w:szCs w:val="19"/>
              </w:rPr>
              <w:t>Änderung (mit Muster-Nr.)</w:t>
            </w:r>
          </w:p>
        </w:tc>
      </w:tr>
      <w:tr w:rsidR="00D86402" w14:paraId="69CB110E" w14:textId="77777777" w:rsidTr="00D023E1">
        <w:tblPrEx>
          <w:tblCellMar>
            <w:top w:w="0" w:type="dxa"/>
            <w:bottom w:w="0" w:type="dxa"/>
          </w:tblCellMar>
        </w:tblPrEx>
        <w:tc>
          <w:tcPr>
            <w:tcW w:w="183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B6DB51E" w14:textId="77777777" w:rsidR="00D86402" w:rsidRDefault="00000000">
            <w:pPr>
              <w:spacing w:after="40" w:line="248" w:lineRule="auto"/>
            </w:pPr>
            <w:r>
              <w:rPr>
                <w:b/>
                <w:bCs/>
                <w:sz w:val="19"/>
                <w:szCs w:val="19"/>
              </w:rPr>
              <w:t>S1 Policy</w:t>
            </w:r>
          </w:p>
        </w:tc>
        <w:tc>
          <w:tcPr>
            <w:tcW w:w="822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ACA311D" w14:textId="77777777" w:rsidR="00D86402" w:rsidRDefault="00000000">
            <w:pPr>
              <w:spacing w:after="40" w:line="248" w:lineRule="auto"/>
            </w:pPr>
            <w:r>
              <w:rPr>
                <w:sz w:val="19"/>
                <w:szCs w:val="19"/>
              </w:rPr>
              <w:t>Goldene Regeln entkoppelt, Steckplatz bleibt für z. B. schulisches Methodenkonzept (Muster 4)</w:t>
            </w:r>
          </w:p>
        </w:tc>
      </w:tr>
      <w:tr w:rsidR="00D86402" w14:paraId="73679237" w14:textId="77777777" w:rsidTr="00D023E1">
        <w:tblPrEx>
          <w:tblCellMar>
            <w:top w:w="0" w:type="dxa"/>
            <w:bottom w:w="0" w:type="dxa"/>
          </w:tblCellMar>
        </w:tblPrEx>
        <w:tc>
          <w:tcPr>
            <w:tcW w:w="183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2E5A391A" w14:textId="77777777" w:rsidR="00D86402" w:rsidRDefault="00000000">
            <w:pPr>
              <w:spacing w:after="40" w:line="248" w:lineRule="auto"/>
            </w:pPr>
            <w:r>
              <w:rPr>
                <w:b/>
                <w:bCs/>
                <w:sz w:val="19"/>
                <w:szCs w:val="19"/>
              </w:rPr>
              <w:t>S3 Kriterien</w:t>
            </w:r>
          </w:p>
        </w:tc>
        <w:tc>
          <w:tcPr>
            <w:tcW w:w="822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564D6D51" w14:textId="77777777" w:rsidR="00D86402" w:rsidRDefault="00000000">
            <w:pPr>
              <w:spacing w:after="40" w:line="248" w:lineRule="auto"/>
            </w:pPr>
            <w:r>
              <w:rPr>
                <w:sz w:val="19"/>
                <w:szCs w:val="19"/>
              </w:rPr>
              <w:t>A3/A4 entfallen mit reservierten IDs → 8 statt 10 Kriterien (Muster 1); Beispiele auf Informatik-Standardstoff getauscht</w:t>
            </w:r>
          </w:p>
        </w:tc>
      </w:tr>
      <w:tr w:rsidR="00D86402" w14:paraId="5C8B5FFA" w14:textId="77777777" w:rsidTr="00D023E1">
        <w:tblPrEx>
          <w:tblCellMar>
            <w:top w:w="0" w:type="dxa"/>
            <w:bottom w:w="0" w:type="dxa"/>
          </w:tblCellMar>
        </w:tblPrEx>
        <w:tc>
          <w:tcPr>
            <w:tcW w:w="183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761475B" w14:textId="77777777" w:rsidR="00D86402" w:rsidRDefault="00000000">
            <w:pPr>
              <w:spacing w:after="40" w:line="248" w:lineRule="auto"/>
            </w:pPr>
            <w:r>
              <w:rPr>
                <w:b/>
                <w:bCs/>
                <w:sz w:val="19"/>
                <w:szCs w:val="19"/>
              </w:rPr>
              <w:t>S4 Phase 1/2</w:t>
            </w:r>
          </w:p>
        </w:tc>
        <w:tc>
          <w:tcPr>
            <w:tcW w:w="822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19FB662C" w14:textId="77777777" w:rsidR="00D86402" w:rsidRDefault="00000000">
            <w:pPr>
              <w:spacing w:after="40" w:line="248" w:lineRule="auto"/>
            </w:pPr>
            <w:r>
              <w:rPr>
                <w:sz w:val="19"/>
                <w:szCs w:val="19"/>
              </w:rPr>
              <w:t>Andockpunkt- durch Zugangs-Brainstorming ersetzt, Kernidee ohne KI-Bezug (Muster 3)</w:t>
            </w:r>
          </w:p>
        </w:tc>
      </w:tr>
      <w:tr w:rsidR="00D86402" w14:paraId="65FB6C8B" w14:textId="77777777" w:rsidTr="00D023E1">
        <w:tblPrEx>
          <w:tblCellMar>
            <w:top w:w="0" w:type="dxa"/>
            <w:bottom w:w="0" w:type="dxa"/>
          </w:tblCellMar>
        </w:tblPrEx>
        <w:tc>
          <w:tcPr>
            <w:tcW w:w="1838"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9EDEA49" w14:textId="77777777" w:rsidR="00D86402" w:rsidRDefault="00000000">
            <w:pPr>
              <w:spacing w:after="40" w:line="248" w:lineRule="auto"/>
            </w:pPr>
            <w:r>
              <w:rPr>
                <w:b/>
                <w:bCs/>
                <w:sz w:val="19"/>
                <w:szCs w:val="19"/>
              </w:rPr>
              <w:t>S4 §5/§6</w:t>
            </w:r>
          </w:p>
        </w:tc>
        <w:tc>
          <w:tcPr>
            <w:tcW w:w="8222" w:type="dxa"/>
            <w:tcBorders>
              <w:top w:val="single" w:sz="4" w:space="0" w:color="D0D7DE"/>
              <w:left w:val="single" w:sz="4" w:space="0" w:color="D0D7DE"/>
              <w:bottom w:val="single" w:sz="4" w:space="0" w:color="D0D7DE"/>
              <w:right w:val="single" w:sz="4" w:space="0" w:color="D0D7DE"/>
            </w:tcBorders>
            <w:tcMar>
              <w:top w:w="70" w:type="dxa"/>
              <w:left w:w="100" w:type="dxa"/>
              <w:bottom w:w="70" w:type="dxa"/>
              <w:right w:w="100" w:type="dxa"/>
            </w:tcMar>
          </w:tcPr>
          <w:p w14:paraId="6741E502" w14:textId="77777777" w:rsidR="00D86402" w:rsidRDefault="00000000">
            <w:pPr>
              <w:spacing w:after="40" w:line="248" w:lineRule="auto"/>
            </w:pPr>
            <w:r>
              <w:rPr>
                <w:sz w:val="19"/>
                <w:szCs w:val="19"/>
              </w:rPr>
              <w:t>Leitprinzipien zu LP 1–8 nummeriert und zur Policy aufgewertet (Muster 5); C-2 generalisiert, C-5 reserviert (Muster 1, 2)</w:t>
            </w:r>
          </w:p>
        </w:tc>
      </w:tr>
    </w:tbl>
    <w:p w14:paraId="79800322" w14:textId="77777777" w:rsidR="00D86402" w:rsidRDefault="00D86402">
      <w:pPr>
        <w:spacing w:after="80"/>
      </w:pPr>
    </w:p>
    <w:p w14:paraId="3F052C1C" w14:textId="77777777" w:rsidR="00D86402" w:rsidRDefault="00000000">
      <w:pPr>
        <w:spacing w:after="150" w:line="272" w:lineRule="auto"/>
      </w:pPr>
      <w:r>
        <w:t xml:space="preserve">Den vollständigen, zeilengenauen Unterschied zeigt das Werkzeug — die Dateien sind absichtlich zeilenparallel gebaut: </w:t>
      </w:r>
      <w:r>
        <w:rPr>
          <w:rFonts w:ascii="Consolas" w:eastAsia="Consolas" w:hAnsi="Consolas" w:cs="Consolas"/>
          <w:sz w:val="19"/>
          <w:szCs w:val="19"/>
        </w:rPr>
        <w:t>diff ensemble_ki-integration/S4_… ensemble_generisch/S4_…</w:t>
      </w:r>
      <w:r>
        <w:t xml:space="preserve">  (oder komfortabler </w:t>
      </w:r>
      <w:r>
        <w:rPr>
          <w:rFonts w:ascii="Consolas" w:eastAsia="Consolas" w:hAnsi="Consolas" w:cs="Consolas"/>
          <w:sz w:val="19"/>
          <w:szCs w:val="19"/>
        </w:rPr>
        <w:t>code --diff</w:t>
      </w:r>
      <w:r>
        <w:t>). Das Werkzeug liefert das Was, dieses Dokument das Warum.</w:t>
      </w:r>
    </w:p>
    <w:p w14:paraId="36DE6345" w14:textId="77777777" w:rsidR="004331EF" w:rsidRDefault="004331EF">
      <w:pPr>
        <w:spacing w:after="150" w:line="272" w:lineRule="auto"/>
      </w:pPr>
    </w:p>
    <w:p w14:paraId="4479F248" w14:textId="77777777" w:rsidR="00D86402" w:rsidRDefault="00000000">
      <w:pPr>
        <w:pStyle w:val="Heading1"/>
        <w:spacing w:before="300" w:after="140"/>
      </w:pPr>
      <w:r>
        <w:rPr>
          <w:b/>
          <w:bCs/>
          <w:color w:val="0969DA"/>
          <w:sz w:val="26"/>
          <w:szCs w:val="26"/>
        </w:rPr>
        <w:t xml:space="preserve">5  </w:t>
      </w:r>
      <w:r>
        <w:rPr>
          <w:b/>
          <w:bCs/>
          <w:color w:val="1F2328"/>
          <w:sz w:val="26"/>
          <w:szCs w:val="26"/>
        </w:rPr>
        <w:t>Formalia und die Architektur-Faustregel</w:t>
      </w:r>
    </w:p>
    <w:p w14:paraId="15509245" w14:textId="77777777" w:rsidR="00D86402" w:rsidRDefault="00000000">
      <w:pPr>
        <w:spacing w:after="150" w:line="272" w:lineRule="auto"/>
      </w:pPr>
      <w:r>
        <w:rPr>
          <w:b/>
          <w:bCs/>
          <w:color w:val="0969DA"/>
        </w:rPr>
        <w:t xml:space="preserve">Formalia je Datei:  </w:t>
      </w:r>
      <w:r>
        <w:t>Frontmatter mit artefakt-schicht, variante, fork-von, Version (Suffix je Variante, z. B. 2.0-g) und Changelog. Reservierte IDs nie neu vergeben; neue Kriterienfamilien bekommen einen neuen Buchstaben-Bereich (z. B. D1, D2, …).</w:t>
      </w:r>
    </w:p>
    <w:p w14:paraId="4F0819F0" w14:textId="77777777" w:rsidR="00D86402" w:rsidRDefault="00000000">
      <w:pPr>
        <w:spacing w:after="150" w:line="272" w:lineRule="auto"/>
      </w:pPr>
      <w:r>
        <w:rPr>
          <w:b/>
          <w:bCs/>
          <w:color w:val="0969DA"/>
        </w:rPr>
        <w:t xml:space="preserve">Faustregel Architektur:  </w:t>
      </w:r>
      <w:r>
        <w:t>Ab etwa drei parallelen Ensembles die Fork-Strategie bewusst überprüfen — jede Änderung am gemeinsamen Prozessskelett ist dann Mehrfach-Pflegearbeit, und das Divergenzrisiko wächst schneller als der Klarheitsgewinn. Die Alternative ist ein gemeinsamer Kern mit Erweiterungsmodulen; die Variabilitätstabellen aus Schritt 2 sind dafür bereits die halbe Vorarbeit. Legitime Gegenposition: Für Kolleg:innen, die genau ein Ensemble nutzen, bleibt der Fork das klarere Modell — Architektur folgt der Nutzerschaft, nicht der reinen Lehre.</w:t>
      </w:r>
    </w:p>
    <w:sectPr w:rsidR="00D86402" w:rsidSect="004331EF">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C2B02C" w14:textId="77777777" w:rsidR="00AF494C" w:rsidRDefault="00AF494C">
      <w:r>
        <w:separator/>
      </w:r>
    </w:p>
  </w:endnote>
  <w:endnote w:type="continuationSeparator" w:id="0">
    <w:p w14:paraId="269DA404" w14:textId="77777777" w:rsidR="00AF494C" w:rsidRDefault="00AF4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B2AB8" w14:textId="77777777" w:rsidR="00D86402" w:rsidRDefault="00000000">
    <w:pPr>
      <w:pBdr>
        <w:top w:val="single" w:sz="4" w:space="0" w:color="D0D7DE"/>
      </w:pBdr>
      <w:tabs>
        <w:tab w:val="right" w:pos="9356"/>
      </w:tabs>
      <w:spacing w:before="110"/>
    </w:pPr>
    <w:r>
      <w:rPr>
        <w:color w:val="57606A"/>
        <w:sz w:val="17"/>
        <w:szCs w:val="17"/>
      </w:rPr>
      <w:t>Meta-Dokument · Juli 2026 · nie in den LLM-Kontext laden</w:t>
    </w:r>
    <w:r>
      <w:rPr>
        <w:color w:val="57606A"/>
        <w:sz w:val="17"/>
        <w:szCs w:val="17"/>
      </w:rPr>
      <w:tab/>
      <w:t xml:space="preserve">Seite </w:t>
    </w:r>
    <w:r>
      <w:rPr>
        <w:color w:val="57606A"/>
        <w:sz w:val="17"/>
        <w:szCs w:val="17"/>
      </w:rPr>
      <w:fldChar w:fldCharType="begin"/>
    </w:r>
    <w:r>
      <w:rPr>
        <w:color w:val="57606A"/>
        <w:sz w:val="17"/>
        <w:szCs w:val="17"/>
      </w:rPr>
      <w:instrText>PAGE</w:instrText>
    </w:r>
    <w:r>
      <w:rPr>
        <w:color w:val="57606A"/>
        <w:sz w:val="17"/>
        <w:szCs w:val="17"/>
      </w:rPr>
      <w:fldChar w:fldCharType="separate"/>
    </w:r>
    <w:r w:rsidR="004331EF">
      <w:rPr>
        <w:noProof/>
        <w:color w:val="57606A"/>
        <w:sz w:val="17"/>
        <w:szCs w:val="17"/>
      </w:rPr>
      <w:t>1</w:t>
    </w:r>
    <w:r>
      <w:rPr>
        <w:color w:val="57606A"/>
        <w:sz w:val="17"/>
        <w:szCs w:val="17"/>
      </w:rPr>
      <w:fldChar w:fldCharType="end"/>
    </w:r>
    <w:r>
      <w:rPr>
        <w:color w:val="57606A"/>
        <w:sz w:val="17"/>
        <w:szCs w:val="17"/>
      </w:rPr>
      <w:t xml:space="preserve"> von </w:t>
    </w:r>
    <w:r>
      <w:rPr>
        <w:color w:val="57606A"/>
        <w:sz w:val="17"/>
        <w:szCs w:val="17"/>
      </w:rPr>
      <w:fldChar w:fldCharType="begin"/>
    </w:r>
    <w:r>
      <w:rPr>
        <w:color w:val="57606A"/>
        <w:sz w:val="17"/>
        <w:szCs w:val="17"/>
      </w:rPr>
      <w:instrText>NUMPAGES</w:instrText>
    </w:r>
    <w:r>
      <w:rPr>
        <w:color w:val="57606A"/>
        <w:sz w:val="17"/>
        <w:szCs w:val="17"/>
      </w:rPr>
      <w:fldChar w:fldCharType="separate"/>
    </w:r>
    <w:r w:rsidR="004331EF">
      <w:rPr>
        <w:noProof/>
        <w:color w:val="57606A"/>
        <w:sz w:val="17"/>
        <w:szCs w:val="17"/>
      </w:rPr>
      <w:t>2</w:t>
    </w:r>
    <w:r>
      <w:rPr>
        <w:color w:val="57606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651B6A" w14:textId="77777777" w:rsidR="00AF494C" w:rsidRDefault="00AF494C">
      <w:r>
        <w:separator/>
      </w:r>
    </w:p>
  </w:footnote>
  <w:footnote w:type="continuationSeparator" w:id="0">
    <w:p w14:paraId="3A172EC4" w14:textId="77777777" w:rsidR="00AF494C" w:rsidRDefault="00AF4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F2997" w14:textId="77777777" w:rsidR="00D86402" w:rsidRDefault="00000000">
    <w:pPr>
      <w:pBdr>
        <w:bottom w:val="single" w:sz="4" w:space="0" w:color="D0D7DE"/>
      </w:pBdr>
      <w:tabs>
        <w:tab w:val="right" w:pos="9356"/>
      </w:tabs>
      <w:spacing w:after="110"/>
    </w:pPr>
    <w:r>
      <w:rPr>
        <w:color w:val="57606A"/>
        <w:sz w:val="17"/>
        <w:szCs w:val="17"/>
      </w:rPr>
      <w:t>SDD-Paket · Weiterentwicklung</w:t>
    </w:r>
    <w:r>
      <w:rPr>
        <w:color w:val="0969DA"/>
        <w:sz w:val="17"/>
        <w:szCs w:val="17"/>
      </w:rPr>
      <w:tab/>
      <w:t>iludis.de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B046F9"/>
    <w:multiLevelType w:val="hybridMultilevel"/>
    <w:tmpl w:val="FA78720A"/>
    <w:lvl w:ilvl="0" w:tplc="66E24326">
      <w:start w:val="1"/>
      <w:numFmt w:val="bullet"/>
      <w:lvlText w:val="●"/>
      <w:lvlJc w:val="left"/>
      <w:pPr>
        <w:ind w:left="720" w:hanging="360"/>
      </w:pPr>
    </w:lvl>
    <w:lvl w:ilvl="1" w:tplc="7716061C">
      <w:start w:val="1"/>
      <w:numFmt w:val="bullet"/>
      <w:lvlText w:val="○"/>
      <w:lvlJc w:val="left"/>
      <w:pPr>
        <w:ind w:left="1440" w:hanging="360"/>
      </w:pPr>
    </w:lvl>
    <w:lvl w:ilvl="2" w:tplc="C360D550">
      <w:start w:val="1"/>
      <w:numFmt w:val="bullet"/>
      <w:lvlText w:val="■"/>
      <w:lvlJc w:val="left"/>
      <w:pPr>
        <w:ind w:left="2160" w:hanging="360"/>
      </w:pPr>
    </w:lvl>
    <w:lvl w:ilvl="3" w:tplc="ED52071E">
      <w:start w:val="1"/>
      <w:numFmt w:val="bullet"/>
      <w:lvlText w:val="●"/>
      <w:lvlJc w:val="left"/>
      <w:pPr>
        <w:ind w:left="2880" w:hanging="360"/>
      </w:pPr>
    </w:lvl>
    <w:lvl w:ilvl="4" w:tplc="627E1340">
      <w:start w:val="1"/>
      <w:numFmt w:val="bullet"/>
      <w:lvlText w:val="○"/>
      <w:lvlJc w:val="left"/>
      <w:pPr>
        <w:ind w:left="3600" w:hanging="360"/>
      </w:pPr>
    </w:lvl>
    <w:lvl w:ilvl="5" w:tplc="C0169BB6">
      <w:start w:val="1"/>
      <w:numFmt w:val="bullet"/>
      <w:lvlText w:val="■"/>
      <w:lvlJc w:val="left"/>
      <w:pPr>
        <w:ind w:left="4320" w:hanging="360"/>
      </w:pPr>
    </w:lvl>
    <w:lvl w:ilvl="6" w:tplc="1068C53C">
      <w:start w:val="1"/>
      <w:numFmt w:val="bullet"/>
      <w:lvlText w:val="●"/>
      <w:lvlJc w:val="left"/>
      <w:pPr>
        <w:ind w:left="5040" w:hanging="360"/>
      </w:pPr>
    </w:lvl>
    <w:lvl w:ilvl="7" w:tplc="4C887FB8">
      <w:start w:val="1"/>
      <w:numFmt w:val="bullet"/>
      <w:lvlText w:val="●"/>
      <w:lvlJc w:val="left"/>
      <w:pPr>
        <w:ind w:left="5760" w:hanging="360"/>
      </w:pPr>
    </w:lvl>
    <w:lvl w:ilvl="8" w:tplc="43B00E02">
      <w:start w:val="1"/>
      <w:numFmt w:val="bullet"/>
      <w:lvlText w:val="●"/>
      <w:lvlJc w:val="left"/>
      <w:pPr>
        <w:ind w:left="6480" w:hanging="360"/>
      </w:pPr>
    </w:lvl>
  </w:abstractNum>
  <w:num w:numId="1" w16cid:durableId="15474451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02"/>
    <w:rsid w:val="004331EF"/>
    <w:rsid w:val="00AF494C"/>
    <w:rsid w:val="00BF73B4"/>
    <w:rsid w:val="00D023E1"/>
    <w:rsid w:val="00D8640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992A2BB"/>
  <w15:docId w15:val="{0275AC17-AC5A-E347-862F-42E45115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F2328"/>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693</Words>
  <Characters>4831</Characters>
  <Application>Microsoft Office Word</Application>
  <DocSecurity>0</DocSecurity>
  <Lines>86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2026-07-14T15:06:00Z</dcterms:created>
  <dcterms:modified xsi:type="dcterms:W3CDTF">2026-07-15T13:04:00Z</dcterms:modified>
</cp:coreProperties>
</file>