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2328"/>
          <w:sz w:val="38"/>
          <w:szCs w:val="38"/>
        </w:rPr>
        <w:t xml:space="preserve">Arbeitsauftrag: Das dritte Ensemble</w:t>
      </w:r>
    </w:p>
    <w:p>
      <w:pPr>
        <w:spacing w:after="60"/>
      </w:pPr>
      <w:r>
        <w:rPr>
          <w:rFonts w:ascii="Arial" w:cs="Arial" w:eastAsia="Arial" w:hAnsi="Arial"/>
          <w:color w:val="0969DA"/>
          <w:sz w:val="23"/>
          <w:szCs w:val="23"/>
        </w:rPr>
        <w:t xml:space="preserve">„Programmieren im KI-Zeitalter" — vom Positionspapier zum einsatzbereiten Prompt-Ensemble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7606A"/>
          <w:sz w:val="19"/>
          <w:szCs w:val="19"/>
        </w:rPr>
        <w:t xml:space="preserve">Hands-on · Partner- oder Kleingruppenarbeit · Ergebnis: ein lauffähiges Ensemble und ein Probelauf-Protokoll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0D7DE" w:sz="4"/>
              <w:left w:val="single" w:color="0969DA" w:sz="24"/>
              <w:bottom w:val="single" w:color="D0D7DE" w:sz="4"/>
              <w:right w:val="single" w:color="D0D7DE" w:sz="4"/>
            </w:tcBorders>
            <w:shd w:fill="DD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0"/>
                <w:szCs w:val="20"/>
              </w:rPr>
              <w:t xml:space="preserve">Was Sie brauchen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(1) Das SDD-Spezifikationspaket, insbesondere den Ordner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ensemble_generisch/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und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meta/WORKFLOW_variantenerstellung.md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· (2) das Positionspapier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328"/>
                <w:sz w:val="21"/>
                <w:szCs w:val="21"/>
              </w:rPr>
              <w:t xml:space="preserve">„Programmieren lehren im Zeitalter generativer KI"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— Sie brauchen vor allem Abschnitt 7 (Synthese) und Abschnitt 8 (Prüfungsformate) · (3) einen LLM-Zugang für den Probelauf.</w:t>
            </w:r>
          </w:p>
        </w:tc>
      </w:tr>
    </w:tbl>
    <w:p>
      <w:pPr>
        <w:spacing w:after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969DA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Ausgangslage und Auftrag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Die Fachschaft diskutiert, wie der Programmierunterricht auf KI-Assistenten reagieren soll. Das Positionspapier bündelt die Debatte und mündet in einen Synthesevorschlag: Trennung von Trainingsmedium, Zielkompetenz und Prüfgegenstand; Recurrency statt Einmalfundament; Differenzierung nach Zielgruppe; transparente KI-Nutzungsregeln je Lernphase.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Ihr Auftrag: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Machen Sie aus diesem Papier ein neues Prompt-Ensemble, mit dem Lehrkräfte Programmierstunden planen können, die diese Grundsätze umsetzen. Sie durchlaufen dabei den Varianten-Workflow des Pakets — in verkürzter Form. Am Ende steht ein Probelauf mit einem echten Planungsdialog.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0D7DE" w:sz="4"/>
              <w:left w:val="single" w:color="0969DA" w:sz="24"/>
              <w:bottom w:val="single" w:color="D0D7DE" w:sz="4"/>
              <w:right w:val="single" w:color="D0D7DE" w:sz="4"/>
            </w:tcBorders>
            <w:shd w:fill="FFF8C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0"/>
                <w:szCs w:val="20"/>
              </w:rPr>
              <w:t xml:space="preserve">Die Architekturfrage vorab: neue Policy oder neue Kriterien?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1"/>
                <w:szCs w:val="21"/>
              </w:rPr>
              <w:t xml:space="preserve">Beides — und zwar in dieser Reihenfolge.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Das System erzwingt es selbst: Die Traceability-Regel (S4, Abschnitt 3) verlangt, dass jedes prüfbare Prinzip ein Akzeptanzkriterium besitzt. Wer also eine neue S1-Policy einführt, muss S3 nachziehen — sonst gibt es Grundsätze, die der Review nie zu Gesicht bekommt. S4 braucht anschließend nur minimal-invasive Anpassungen. Genau in dieser Reihenfolge arbeiten die folgenden Schritte.</w:t>
            </w:r>
          </w:p>
        </w:tc>
      </w:tr>
    </w:tbl>
    <w:p>
      <w:pPr>
        <w:spacing w:after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969DA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Schritt 1 — Zieldefinition und Fork-Entscheidung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969DA"/>
          <w:sz w:val="21"/>
          <w:szCs w:val="21"/>
        </w:rPr>
        <w:t xml:space="preserve">a)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Formulieren Sie in zwei bis drei Sätzen: Wofür soll das neue Ensemble Unterricht planen? Für welche Bildungsgänge? Was unterscheidet es von den beiden bestehenden Ensembles?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pPr>
              <w:pBdr>
                <w:bottom w:val="single" w:color="D0D7DE" w:sz="4"/>
              </w:pBdr>
              <w:spacing w:after="2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4"/>
              </w:pBdr>
              <w:spacing w:after="2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4"/>
              </w:pBdr>
              <w:spacing w:after="2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 </w:t>
            </w:r>
          </w:p>
        </w:tc>
      </w:tr>
    </w:tbl>
    <w:p>
      <w:pPr>
        <w:spacing w:after="140"/>
      </w:pPr>
    </w:p>
    <w:p>
      <w:pPr>
        <w:spacing w:after="1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969DA"/>
          <w:sz w:val="21"/>
          <w:szCs w:val="21"/>
        </w:rPr>
        <w:t xml:space="preserve">b)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Von welchem Ensemble forken Sie — </w:t>
      </w:r>
      <w:r>
        <w:rPr>
          <w:rFonts w:ascii="Arial" w:cs="Arial" w:eastAsia="Arial" w:hAnsi="Arial"/>
          <w:b w:val="false"/>
          <w:bCs w:val="false"/>
          <w:i/>
          <w:iCs/>
          <w:color w:val="1F2328"/>
          <w:sz w:val="21"/>
          <w:szCs w:val="21"/>
        </w:rPr>
        <w:t xml:space="preserve">KI-Integration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oder </w:t>
      </w:r>
      <w:r>
        <w:rPr>
          <w:rFonts w:ascii="Arial" w:cs="Arial" w:eastAsia="Arial" w:hAnsi="Arial"/>
          <w:b w:val="false"/>
          <w:bCs w:val="false"/>
          <w:i/>
          <w:iCs/>
          <w:color w:val="1F2328"/>
          <w:sz w:val="21"/>
          <w:szCs w:val="21"/>
        </w:rPr>
        <w:t xml:space="preserve">generisch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? Begründen Sie. Leitfrage: Was ist in der neuen Variante das </w:t>
      </w: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Thema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des Unterrichts, und was ist nur das </w:t>
      </w: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Werkzeug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im Lernprozess?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20"/>
              <w:bottom w:type="dxa" w:w="20"/>
              <w:right w:type="dxa" w:w="120"/>
            </w:tcMar>
          </w:tcPr>
          <w:p>
            <w:pPr>
              <w:pBdr>
                <w:bottom w:val="single" w:color="D0D7DE" w:sz="4"/>
              </w:pBdr>
              <w:spacing w:after="2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0D7DE" w:sz="4"/>
              </w:pBdr>
              <w:spacing w:after="2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0"/>
                <w:szCs w:val="20"/>
              </w:rPr>
              <w:t xml:space="preserve"> </w:t>
            </w:r>
          </w:p>
        </w:tc>
      </w:tr>
    </w:tbl>
    <w:p>
      <w:pPr>
        <w:spacing w:after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969DA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Schritt 2 — Die Policy destillieren (neues S1)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Lesen Sie die Abschnitte 7 und 8 des Positionspapiers und destillieren Sie daraus </w:t>
      </w: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vier bis sechs normative Prinzipien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für Ihre neue Policy-Datei. Achtung, häufigster Fehler: Ein Policy-Prinzip ist eine </w:t>
      </w: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Soll-Aussage über Unterricht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(„Jede Stunde weist aus, …"), keine Zusammenfassung der Debatte („Es gibt zwei Positionen …"). Orientieren Sie sich am Format der Goldenen Regeln: Nummer, Regel als Merksatz, Konkretisierung.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3175"/>
        <w:gridCol w:w="5500"/>
      </w:tblGrid>
      <w:tr>
        <w:trPr>
          <w:tblHeader/>
        </w:trPr>
        <w:tc>
          <w:tcPr>
            <w:tcW w:type="dxa" w:w="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Nr.</w:t>
            </w:r>
          </w:p>
        </w:tc>
        <w:tc>
          <w:tcPr>
            <w:tcW w:type="dxa" w:w="31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Prinzip (Merksatz)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Was das konkret für die Stundenplanung heißt</w:t>
            </w:r>
          </w:p>
        </w:tc>
      </w:tr>
      <w:tr>
        <w:tc>
          <w:tcPr>
            <w:tcW w:type="dxa" w:w="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P1</w:t>
            </w:r>
          </w:p>
        </w:tc>
        <w:tc>
          <w:tcPr>
            <w:tcW w:type="dxa" w:w="31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P2</w:t>
            </w:r>
          </w:p>
        </w:tc>
        <w:tc>
          <w:tcPr>
            <w:tcW w:type="dxa" w:w="31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P3</w:t>
            </w:r>
          </w:p>
        </w:tc>
        <w:tc>
          <w:tcPr>
            <w:tcW w:type="dxa" w:w="31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P4</w:t>
            </w:r>
          </w:p>
        </w:tc>
        <w:tc>
          <w:tcPr>
            <w:tcW w:type="dxa" w:w="31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P5</w:t>
            </w:r>
          </w:p>
        </w:tc>
        <w:tc>
          <w:tcPr>
            <w:tcW w:type="dxa" w:w="31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6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P6</w:t>
            </w:r>
          </w:p>
        </w:tc>
        <w:tc>
          <w:tcPr>
            <w:tcW w:type="dxa" w:w="317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7606A"/>
          <w:sz w:val="19"/>
          <w:szCs w:val="19"/>
        </w:rPr>
        <w:t xml:space="preserve">Vergessen Sie das Frontmatter der neuen Datei nicht: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7606A"/>
          <w:sz w:val="18"/>
          <w:szCs w:val="18"/>
        </w:rPr>
        <w:t xml:space="preserve">artefakt-schicht: S1, variante, version: 1.0, quelle: Positionspapier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969DA"/>
          <w:sz w:val="26"/>
          <w:szCs w:val="26"/>
        </w:rPr>
        <w:t xml:space="preserve">4  </w:t>
      </w: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Schritt 3 — Testbarkeit prüfen, Kriterien ableiten (S3 erweitern)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Wenden Sie auf jedes Prinzip aus Schritt 2 die Prüffrage an: </w:t>
      </w:r>
      <w:r>
        <w:rPr>
          <w:rFonts w:ascii="Arial" w:cs="Arial" w:eastAsia="Arial" w:hAnsi="Arial"/>
          <w:b w:val="false"/>
          <w:bCs w:val="false"/>
          <w:i/>
          <w:iCs/>
          <w:color w:val="1F2328"/>
          <w:sz w:val="21"/>
          <w:szCs w:val="21"/>
        </w:rPr>
        <w:t xml:space="preserve">Kann ein Reviewer am fertigen Unterrichtsentwurf entscheiden, ob dieses Prinzip erfüllt ist?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Wenn ja: Formulieren Sie ein Akzeptanzkriterium. Wenn nein: Weisen Sie das Prinzip ausdrücklich als </w:t>
      </w: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nicht testbar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aus — so wie es die KI-Variante mit Goldener Regel 6 vormacht. Nicht testbar ist kein Mangel, aber es muss dokumentiert sein.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c>
          <w:tcPr>
            <w:tcW w:type="dxa" w:w="9356"/>
            <w:tcBorders>
              <w:top w:val="single" w:color="D0D7DE" w:sz="4"/>
              <w:left w:val="single" w:color="0969DA" w:sz="24"/>
              <w:bottom w:val="single" w:color="D0D7DE" w:sz="4"/>
              <w:right w:val="single" w:color="D0D7DE" w:sz="4"/>
            </w:tcBorders>
            <w:shd w:fill="DD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0"/>
                <w:szCs w:val="20"/>
              </w:rPr>
              <w:t xml:space="preserve">ID-Regel beachten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Die IDs A3 und A4 sind für die Variante KI-Integration reserviert — vergeben Sie sie nicht neu, auch wenn sie in Ihrer Vorlage frei aussehen. Eröffnen Sie stattdessen einen neuen Bereich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1"/>
                <w:szCs w:val="21"/>
              </w:rPr>
              <w:t xml:space="preserve">D („KI-Werkzeug-Didaktik")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mit den IDs D1, D2, … — so bleiben alle drei Ensembles diff-fähig und die Traceability-Matrizen kollisionsfrei.</w:t>
            </w:r>
          </w:p>
        </w:tc>
      </w:tr>
    </w:tbl>
    <w:p>
      <w:pPr>
        <w:spacing w:after="14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"/>
        <w:gridCol w:w="1474"/>
        <w:gridCol w:w="7088"/>
      </w:tblGrid>
      <w:tr>
        <w:trPr>
          <w:tblHeader/>
        </w:trPr>
        <w:tc>
          <w:tcPr>
            <w:tcW w:type="dxa" w:w="7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Prinzip</w:t>
            </w:r>
          </w:p>
        </w:tc>
        <w:tc>
          <w:tcPr>
            <w:tcW w:type="dxa" w:w="14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testbar?</w:t>
            </w:r>
          </w:p>
        </w:tc>
        <w:tc>
          <w:tcPr>
            <w:tcW w:type="dxa" w:w="7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Akzeptanzkriterium (ID + Text) — oder Begründung „nicht testbar"</w:t>
            </w:r>
          </w:p>
        </w:tc>
      </w:tr>
      <w:tr>
        <w:tc>
          <w:tcPr>
            <w:tcW w:type="dxa" w:w="7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P1</w:t>
            </w:r>
          </w:p>
        </w:tc>
        <w:tc>
          <w:tcPr>
            <w:tcW w:type="dxa" w:w="14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7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7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P2</w:t>
            </w:r>
          </w:p>
        </w:tc>
        <w:tc>
          <w:tcPr>
            <w:tcW w:type="dxa" w:w="14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7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7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P3</w:t>
            </w:r>
          </w:p>
        </w:tc>
        <w:tc>
          <w:tcPr>
            <w:tcW w:type="dxa" w:w="14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7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7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P4</w:t>
            </w:r>
          </w:p>
        </w:tc>
        <w:tc>
          <w:tcPr>
            <w:tcW w:type="dxa" w:w="14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7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7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P5</w:t>
            </w:r>
          </w:p>
        </w:tc>
        <w:tc>
          <w:tcPr>
            <w:tcW w:type="dxa" w:w="14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7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79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P6</w:t>
            </w:r>
          </w:p>
        </w:tc>
        <w:tc>
          <w:tcPr>
            <w:tcW w:type="dxa" w:w="147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70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</w:tbl>
    <w:p>
      <w:pPr>
        <w:spacing w:after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969DA"/>
          <w:sz w:val="26"/>
          <w:szCs w:val="26"/>
        </w:rPr>
        <w:t xml:space="preserve">5  </w:t>
      </w: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Schritt 4 — S4 minimal-invasiv anpassen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Gehen Sie Ihre Kopie von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328"/>
          <w:sz w:val="20"/>
          <w:szCs w:val="20"/>
        </w:rPr>
        <w:t xml:space="preserve">S4_prozessdefinition_masterprompt_generisch.md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abschnittsweise durch und notieren Sie </w:t>
      </w: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nur die Stellen, die sich ändern müssen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(Variabilitätsanalyse light). Leitfragen: Muss Phase 1 etwas Neues erheben — etwa die </w:t>
      </w:r>
      <w:r>
        <w:rPr>
          <w:rFonts w:ascii="Arial" w:cs="Arial" w:eastAsia="Arial" w:hAnsi="Arial"/>
          <w:b w:val="false"/>
          <w:bCs w:val="false"/>
          <w:i/>
          <w:iCs/>
          <w:color w:val="1F2328"/>
          <w:sz w:val="21"/>
          <w:szCs w:val="21"/>
        </w:rPr>
        <w:t xml:space="preserve">Lernphase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der Stunde (KI-frei / KI-begleitet / KI-pflichtig)? Braucht der Entwurf in Phase 3 ein neues Pflichtelement? Gegen wie viele Kriterien prüft Phase 4 jetzt? Stimmen Frontmatter, Artefaktmodell-Tabelle (§2) und Traceability-Matrix (§3) noch?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247"/>
        <w:gridCol w:w="6180"/>
      </w:tblGrid>
      <w:tr>
        <w:trPr>
          <w:tblHeader/>
        </w:trPr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Abschnitt in S4</w:t>
            </w:r>
          </w:p>
        </w:tc>
        <w:tc>
          <w:tcPr>
            <w:tcW w:type="dxa" w:w="1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Änderung?</w:t>
            </w:r>
          </w:p>
        </w:tc>
        <w:tc>
          <w:tcPr>
            <w:tcW w:type="dxa" w:w="61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Was genau ändert sich</w:t>
            </w:r>
          </w:p>
        </w:tc>
      </w:tr>
      <w:tr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Frontmatter</w:t>
            </w:r>
          </w:p>
        </w:tc>
        <w:tc>
          <w:tcPr>
            <w:tcW w:type="dxa" w:w="1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61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§2 Artefaktmodell</w:t>
            </w:r>
          </w:p>
        </w:tc>
        <w:tc>
          <w:tcPr>
            <w:tcW w:type="dxa" w:w="1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61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§3 Traceability</w:t>
            </w:r>
          </w:p>
        </w:tc>
        <w:tc>
          <w:tcPr>
            <w:tcW w:type="dxa" w:w="1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61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§4 Phase 1</w:t>
            </w:r>
          </w:p>
        </w:tc>
        <w:tc>
          <w:tcPr>
            <w:tcW w:type="dxa" w:w="1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61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§4 Phase 3</w:t>
            </w:r>
          </w:p>
        </w:tc>
        <w:tc>
          <w:tcPr>
            <w:tcW w:type="dxa" w:w="1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61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969DA"/>
                <w:sz w:val="21"/>
                <w:szCs w:val="21"/>
              </w:rPr>
              <w:t xml:space="preserve">§4 Phase 4 / §7 DoD</w:t>
            </w:r>
          </w:p>
        </w:tc>
        <w:tc>
          <w:tcPr>
            <w:tcW w:type="dxa" w:w="12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  <w:tc>
          <w:tcPr>
            <w:tcW w:type="dxa" w:w="618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140"/>
              <w:left w:type="dxa" w:w="110"/>
              <w:bottom w:type="dxa" w:w="140"/>
              <w:right w:type="dxa" w:w="110"/>
            </w:tcMar>
          </w:tcPr>
          <w:p>
            <w:pPr>
              <w:spacing w:after="2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21"/>
                <w:szCs w:val="21"/>
              </w:rPr>
              <w:t xml:space="preserve"> </w:t>
            </w:r>
          </w:p>
        </w:tc>
      </w:tr>
    </w:tbl>
    <w:p>
      <w:pPr>
        <w:spacing w:after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969DA"/>
          <w:sz w:val="26"/>
          <w:szCs w:val="26"/>
        </w:rPr>
        <w:t xml:space="preserve">6  </w:t>
      </w: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Schritt 5 — Konsistenz-Check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Haken Sie ab, bevor Sie in den Probelauf gehen: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Jedes testbare Prinzip hat ein Kriterium, jedes Kriterium ein Prinzip — Matrix in S4 §3 erweitert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Nicht testbare Prinzipien sind ausdrücklich als solche ausgewiesen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Kriterienanzahl in Phase 4, Definition of Done und Bezugsrahmen der Rubrik nachgezogen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Volltextsuche: keine verwaisten Referenzen, keine versehentlich neu vergebenen reservierten IDs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Neuer Ordner ensemble_programmieren-ki/ angelegt, alle Dateien mit Frontmatter (variante, fork-von, Version)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Ladekonfiguration im README um die dritte Spalte bzw. Zeile ergänzt</w:t>
      </w:r>
    </w:p>
    <w:p>
      <w:pPr>
        <w:spacing w:after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969DA"/>
          <w:sz w:val="26"/>
          <w:szCs w:val="26"/>
        </w:rPr>
        <w:t xml:space="preserve">7  </w:t>
      </w: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Schritt 6 — Probelauf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Laden Sie Ihr neues Ensemble (S4 als Systemprompt, neue S1, erweiterte S3, S2) und führen Sie eine Testplanung durch. Vorschlag für die Instanzdaten — gern durch ein eigenes Thema ersetzen: </w:t>
      </w:r>
      <w:r>
        <w:rPr>
          <w:rFonts w:ascii="Arial" w:cs="Arial" w:eastAsia="Arial" w:hAnsi="Arial"/>
          <w:b w:val="false"/>
          <w:bCs w:val="false"/>
          <w:i/>
          <w:iCs/>
          <w:color w:val="1F2328"/>
          <w:sz w:val="21"/>
          <w:szCs w:val="21"/>
        </w:rPr>
        <w:t xml:space="preserve">Fachinformatiker:innen, 1. Ausbildungsjahr, Thema „Kontrollstrukturen: Schleifen", Doppelstunde.</w:t>
      </w:r>
    </w:p>
    <w:p>
      <w:pPr>
        <w:spacing w:after="1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Beobachtungsauftrag — notieren Sie zu jeder Frage einen Beleg aus dem Dialog: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Erfragt das LLM in Phase 1 die Lernphase (KI-frei / KI-begleitet / KI-pflichtig) — ohne dass Sie es daran erinnern?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Enthält der Entwurf das neue Pflichtelement (z. B. KI-Nutzungsregel je Unterrichtsphase, mit Begründung gegenüber den Lernenden)?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Prüft der Review-Pass in Phase 4 tatsächlich gegen Ihre neuen D-Kriterien — und findet er die Stelle, an der Ihr Entwurf schwächelt?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4"/>
          <w:szCs w:val="24"/>
        </w:rPr>
        <w:t xml:space="preserve">☐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Gegenprobe: Fragt das LLM nirgends nach Dingen, die es in dieser Variante gar nicht gibt (z. B. Kompetenzdomäne E/G/B/V)?</w:t>
      </w:r>
    </w:p>
    <w:p>
      <w:pPr>
        <w:spacing w:after="14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969DA"/>
          <w:sz w:val="26"/>
          <w:szCs w:val="26"/>
        </w:rPr>
        <w:t xml:space="preserve">8  </w:t>
      </w:r>
      <w:r>
        <w:rPr>
          <w:rFonts w:ascii="Arial" w:cs="Arial" w:eastAsia="Arial" w:hAnsi="Arial"/>
          <w:b/>
          <w:bCs/>
          <w:color w:val="1F2328"/>
          <w:sz w:val="26"/>
          <w:szCs w:val="26"/>
        </w:rPr>
        <w:t xml:space="preserve">Schritt 7 — Architektur-Reflexion (Diskussion)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Sie haben soeben das </w:t>
      </w: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dritte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 Ensemble gebaut. Der Workflow enthält eine Faustregel: Ab etwa drei parallelen Varianten die Fork-Strategie überprüfen. Diskutieren Sie: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•  Angenommen, morgen soll Gate 2 umformuliert werden — in wie vielen Dateien müssten Sie das jetzt tun?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•  Lohnt der Umbau auf „gemeinsamer Kern + Erweiterungsmodule" bereits? Was gewinnt man, was verliert man (Stichwort: Klarheit für Kolleg:innen, die nur ein Ensemble nutzen)?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•  Welche Ihrer Arbeitsergebnisse aus Schritt 2–4 wären bei einem solchen Umbau bereits die halbe Vorarbeit?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Erwartungshorizont — nur für die Workshopleitung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7606A"/>
          <w:sz w:val="19"/>
          <w:szCs w:val="19"/>
        </w:rPr>
        <w:t xml:space="preserve">Diesen Erwartungshorizont (die letzten beiden Seiten) vor dem Austeilen entfernen. Kein Lösungszwang — die Stichpunkte markieren den Korridor tragfähiger Ergebnisse.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969DA"/>
          <w:sz w:val="21"/>
          <w:szCs w:val="21"/>
        </w:rPr>
        <w:t xml:space="preserve">Schritt 1b — Fork-Entscheidung: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generisch. Begründung: Programmieren ist ein Standard-Lehrplanthema; die KI ist hier Werkzeug im Lernprozess, nicht Unterrichtsgegenstand. Das Ensemble KI-Integration behandelt KI als Thema (E/G/B/V, Ethik-Pflichtelement) — das wäre die falsche Basis. Nebeneffekt: Der leere S1-Steckplatz der generischen Variante wird zum ersten Mal planmäßig belegt (Änderungsmuster 4: „Bindung lösen, Steckplatz erhalten").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969DA"/>
          <w:sz w:val="21"/>
          <w:szCs w:val="21"/>
        </w:rPr>
        <w:t xml:space="preserve">Schritt 2 — tragfähige Prinzipien (Beispiele):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6747"/>
      </w:tblGrid>
      <w:tr>
        <w:trPr>
          <w:tblHeader/>
        </w:trPr>
        <w:tc>
          <w:tcPr>
            <w:tcW w:type="dxa" w:w="2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Prinzip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20"/>
                <w:szCs w:val="20"/>
              </w:rPr>
              <w:t xml:space="preserve">Kern</w:t>
            </w:r>
          </w:p>
        </w:tc>
      </w:tr>
      <w:tr>
        <w:tc>
          <w:tcPr>
            <w:tcW w:type="dxa" w:w="2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9"/>
                <w:szCs w:val="19"/>
              </w:rPr>
              <w:t xml:space="preserve">P1 Drei Ebenen trennen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Jede Stunde weist aus, ob sie Trainingsmedium (manuelle Praxis), Zielkompetenz (Modellierung, Spezifikation, Verifikation) oder Prüfvorbereitung bedient — und mischt die Ebenen nicht unreflektiert.</w:t>
            </w:r>
          </w:p>
        </w:tc>
      </w:tr>
      <w:tr>
        <w:tc>
          <w:tcPr>
            <w:tcW w:type="dxa" w:w="2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9"/>
                <w:szCs w:val="19"/>
              </w:rPr>
              <w:t xml:space="preserve">P2 Recurrency statt Einmalfundament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Manuelle Praxis erscheint als kurzes, regelmäßiges Format (Kata, Tracing, Schreibtischtest) über das ganze Curriculum — nicht als einmalige „Blackout-Phase".</w:t>
            </w:r>
          </w:p>
        </w:tc>
      </w:tr>
      <w:tr>
        <w:tc>
          <w:tcPr>
            <w:tcW w:type="dxa" w:w="2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9"/>
                <w:szCs w:val="19"/>
              </w:rPr>
              <w:t xml:space="preserve">P3 Lernphasen-Transparenz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Für jede Unterrichtsphase ist festgelegt und gegenüber den Lernenden begründet, ob KI-Nutzung verboten, freigestellt oder verpflichtend ist.</w:t>
            </w:r>
          </w:p>
        </w:tc>
      </w:tr>
      <w:tr>
        <w:tc>
          <w:tcPr>
            <w:tcW w:type="dxa" w:w="2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9"/>
                <w:szCs w:val="19"/>
              </w:rPr>
              <w:t xml:space="preserve">P4 Ausfallszenarien üben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KI-Fehler sind Lerngegenstand: Sabotage-/Review-Aufgaben und manuelle Übernahme fehlerhaften KI-Codes kommen planmäßig vor.</w:t>
            </w:r>
          </w:p>
        </w:tc>
      </w:tr>
      <w:tr>
        <w:tc>
          <w:tcPr>
            <w:tcW w:type="dxa" w:w="2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9"/>
                <w:szCs w:val="19"/>
              </w:rPr>
              <w:t xml:space="preserve">P5 Zielgruppe gewichtet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Der Anteil eigenhändigen Programmierens richtet sich nach dem Bildungsgang (DQR 4/5: hoch und dauerhaft gepflegt).</w:t>
            </w:r>
          </w:p>
        </w:tc>
      </w:tr>
      <w:tr>
        <w:tc>
          <w:tcPr>
            <w:tcW w:type="dxa" w:w="260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328"/>
                <w:sz w:val="19"/>
                <w:szCs w:val="19"/>
              </w:rPr>
              <w:t xml:space="preserve">P6 Verstehen prüfen, nicht Endprodukt</w:t>
            </w:r>
          </w:p>
        </w:tc>
        <w:tc>
          <w:tcPr>
            <w:tcW w:type="dxa" w:w="674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328"/>
                <w:sz w:val="19"/>
                <w:szCs w:val="19"/>
              </w:rPr>
              <w:t xml:space="preserve">Leistungsnachweise machen Verständnis sichtbar (Code-Defense, Review, Prozessdokumentation) statt nur lauffähigen Code zu belohnen.</w:t>
            </w:r>
          </w:p>
        </w:tc>
      </w:tr>
    </w:tbl>
    <w:p>
      <w:pPr>
        <w:spacing w:after="140"/>
      </w:pPr>
    </w:p>
    <w:p>
      <w:pPr>
        <w:spacing w:after="8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969DA"/>
          <w:sz w:val="21"/>
          <w:szCs w:val="21"/>
        </w:rPr>
        <w:t xml:space="preserve">Schritt 3 — Kriterien (Beispiele) und die erwartbare Nicht-Testbarkeit:</w:t>
      </w:r>
    </w:p>
    <w:p>
      <w:pPr>
        <w:spacing w:after="7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D1 Ebenen-Deklaration: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Der Entwurf weist aus, welche Ebene(n) die Stunde bedient (Trainingsmedium / Zielkompetenz / Prüfvorbereitung) — prüfbar am Kopf des Entwurfs. (← P1)</w:t>
      </w:r>
    </w:p>
    <w:p>
      <w:pPr>
        <w:spacing w:after="7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D2 KI-Nutzungsstatus je 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Die Ablauftabelle enthält für jede Phase den KI-Status inkl. Ein-Satz-Begründung. (← P3)</w:t>
      </w:r>
    </w:p>
    <w:p>
      <w:pPr>
        <w:spacing w:after="7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D3 Manueller Anteil: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In KI-begleiteten Stunden ist ein kurzes manuelles Format eingeplant, oder die Abweichung ist begründet. (← P2, Waiver-fähig)</w:t>
      </w:r>
    </w:p>
    <w:p>
      <w:pPr>
        <w:spacing w:after="7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D4 Fehlerfall eingeplant: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Mindestens eine Aufgabe konfrontiert mit fehlerhaftem oder ineffizientem (KI-)Code. (← P4; je nach Gruppe auch als Soll-Kriterium mit Waiver)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F2328"/>
          <w:sz w:val="21"/>
          <w:szCs w:val="21"/>
        </w:rPr>
        <w:t xml:space="preserve">P5 ist typischerweise nicht auf Stundenebene testbar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— die Zielgruppengewichtung wirkt über die Instanzdaten (Bildungsgang) und die Beratung in Phase 2, nicht als Entwurfskriterium. Genau diese Einsicht ist der Lernertrag des Schritts: nicht jede gute Policy-Aussage ist ein Prüfpunkt. P6 zielt auf Leistungsbewertung und liegt damit teils außerhalb des Entwurfsgegenstands (vgl. „Was der Entwurf nicht braucht") — vertretbar ist ein abgeschwächtes Kriterium oder die Nicht-Testbarkeits-Deklaration.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969DA"/>
          <w:sz w:val="21"/>
          <w:szCs w:val="21"/>
        </w:rPr>
        <w:t xml:space="preserve">Schritt 4 — erwartbare S4-Änderstellen: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Frontmatter (variante, fork-von: generisch v2.0-g); §2: S1 = neue Policy-Datei, S3 = erweiterte Rubrik (8 + D-Kriterien); §3: Matrix um P/D-Zeilen ergänzt, P5 als nicht testbar; §4 Phase 1: neues Erhebungsfeld Lernphase; §4 Phase 3: neues Entwurfselement „KI-Nutzungsregel je Phase mit Begründung"; §4 Phase 4 + §7: Kriterienzahl. Mehr sollte nicht nötig sein — wer §5 oder §6 großflächig umbaut, hat vermutlich Policy-Inhalte in die Prozessdefinition geschrieben (ansprechen!).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0969DA"/>
          <w:sz w:val="21"/>
          <w:szCs w:val="21"/>
        </w:rPr>
        <w:t xml:space="preserve">Schritt 7 — Diskussionskorridor: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2328"/>
          <w:sz w:val="21"/>
          <w:szCs w:val="21"/>
        </w:rPr>
        <w:t xml:space="preserve">Gate-Umformulierung = drei Dateien → der Fork-Ansatz erreicht seine Wartungsgrenze; Kern + Module (Option B) wird attraktiv, und die Variabilitätstabellen sind dafür die halbe Vorarbeit. Legitime Gegenposition: Für Kolleg:innen, die genau ein Ensemble nutzen, bleibt der Fork klarer — Architektur folgt der Nutzerschaft, nicht der reinen Lehre. Es gibt hier kein „richtig", nur eine begründete Entscheidung.</w:t>
      </w:r>
    </w:p>
    <w:sectPr>
      <w:headerReference w:type="default" r:id="rId7"/>
      <w:footerReference w:type="default" r:id="rId8"/>
      <w:pgSz w:w="11906" w:h="16838" w:orient="portrait"/>
      <w:pgMar w:top="1247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/>
      </w:pBdr>
      <w:tabs>
        <w:tab w:val="right" w:pos="9356"/>
      </w:tabs>
      <w:spacing w:before="120"/>
    </w:pPr>
    <w:r>
      <w:rPr>
        <w:rFonts w:ascii="Arial" w:cs="Arial" w:eastAsia="Arial" w:hAnsi="Arial"/>
        <w:color w:val="57606A"/>
        <w:sz w:val="17"/>
        <w:szCs w:val="17"/>
      </w:rPr>
      <w:t xml:space="preserve">Arbeitsblatt · Juli 2026 · Meta-Material, nie in den LLM-Kontext laden</w:t>
    </w:r>
    <w:r>
      <w:rPr>
        <w:rFonts w:ascii="Arial" w:cs="Arial" w:eastAsia="Arial" w:hAnsi="Arial"/>
        <w:color w:val="57606A"/>
        <w:sz w:val="17"/>
        <w:szCs w:val="17"/>
      </w:rPr>
      <w:t xml:space="preserve">	Seite </w:t>
    </w:r>
    <w:r>
      <w:rPr>
        <w:rFonts w:ascii="Arial" w:cs="Arial" w:eastAsia="Arial" w:hAnsi="Arial"/>
        <w:color w:val="57606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7606A"/>
        <w:sz w:val="17"/>
        <w:szCs w:val="17"/>
      </w:rPr>
      <w:t xml:space="preserve"> von </w:t>
    </w:r>
    <w:r>
      <w:rPr>
        <w:rFonts w:ascii="Arial" w:cs="Arial" w:eastAsia="Arial" w:hAnsi="Arial"/>
        <w:color w:val="57606A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/>
      </w:pBdr>
      <w:tabs>
        <w:tab w:val="right" w:pos="9356"/>
      </w:tabs>
      <w:spacing w:after="120"/>
    </w:pPr>
    <w:r>
      <w:rPr>
        <w:rFonts w:ascii="Arial" w:cs="Arial" w:eastAsia="Arial" w:hAnsi="Arial"/>
        <w:color w:val="57606A"/>
        <w:sz w:val="17"/>
        <w:szCs w:val="17"/>
      </w:rPr>
      <w:t xml:space="preserve">Pädagogischer Tag · SDD-Workshop · Hands-on</w:t>
    </w:r>
    <w:r>
      <w:rPr>
        <w:rFonts w:ascii="Arial" w:cs="Arial" w:eastAsia="Arial" w:hAnsi="Arial"/>
        <w:color w:val="0969DA"/>
        <w:sz w:val="17"/>
        <w:szCs w:val="17"/>
      </w:rPr>
      <w:t xml:space="preserve">	iludis.de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2026-07-14T14:55:21.717Z</dcterms:created>
  <dcterms:modified xsi:type="dcterms:W3CDTF">2026-07-14T14:55:21.717Z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