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526BCC" w14:textId="77777777" w:rsidR="00B7283D" w:rsidRDefault="00000000">
      <w:pPr>
        <w:spacing w:after="60"/>
      </w:pPr>
      <w:r>
        <w:rPr>
          <w:b/>
          <w:bCs/>
          <w:color w:val="0969DA"/>
          <w:sz w:val="40"/>
          <w:szCs w:val="40"/>
        </w:rPr>
        <w:t>Kompetenzorientierung auf dem Prüfstand der Kognitionspsychologie</w:t>
      </w:r>
    </w:p>
    <w:p w14:paraId="13FE4C3A" w14:textId="77777777" w:rsidR="00B7283D" w:rsidRDefault="00000000">
      <w:pPr>
        <w:spacing w:after="60"/>
      </w:pPr>
      <w:r>
        <w:rPr>
          <w:sz w:val="26"/>
          <w:szCs w:val="26"/>
        </w:rPr>
        <w:t>Positionspapier zur Fachdiskussion: Prozessbezogene Kompetenzen, Übung und Automatisierung</w:t>
      </w:r>
    </w:p>
    <w:p w14:paraId="1DBEFBC1" w14:textId="77777777" w:rsidR="00B7283D" w:rsidRDefault="00000000">
      <w:pPr>
        <w:pBdr>
          <w:bottom w:val="single" w:sz="8" w:space="4" w:color="0969DA"/>
        </w:pBdr>
        <w:spacing w:after="240"/>
      </w:pPr>
      <w:r>
        <w:rPr>
          <w:i/>
          <w:iCs/>
          <w:color w:val="57606A"/>
          <w:sz w:val="18"/>
          <w:szCs w:val="18"/>
        </w:rPr>
        <w:t>Stand: Juli 2026  ·  Begleitpapier zu: „Programmieren lehren im Zeitalter generativer KI“ – vertieft dessen lernpsychologische Grundlage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B7283D" w14:paraId="53A5915B" w14:textId="77777777">
        <w:tblPrEx>
          <w:tblCellMar>
            <w:top w:w="0" w:type="dxa"/>
            <w:bottom w:w="0" w:type="dxa"/>
          </w:tblCellMar>
        </w:tblPrEx>
        <w:tc>
          <w:tcPr>
            <w:tcW w:w="9026" w:type="dxa"/>
            <w:tcBorders>
              <w:top w:val="none" w:sz="0" w:space="0" w:color="FFFFFF"/>
              <w:left w:val="single" w:sz="24" w:space="0" w:color="0969DA"/>
              <w:bottom w:val="none" w:sz="0" w:space="0" w:color="FFFFFF"/>
              <w:right w:val="none" w:sz="0" w:space="0" w:color="FFFFFF"/>
            </w:tcBorders>
            <w:shd w:val="clear" w:color="auto" w:fill="DDF4FF"/>
            <w:tcMar>
              <w:top w:w="160" w:type="dxa"/>
              <w:left w:w="240" w:type="dxa"/>
              <w:bottom w:w="160" w:type="dxa"/>
              <w:right w:w="240" w:type="dxa"/>
            </w:tcMar>
          </w:tcPr>
          <w:p w14:paraId="42CCD4CF" w14:textId="77777777" w:rsidR="00B7283D" w:rsidRDefault="00000000">
            <w:pPr>
              <w:spacing w:after="80"/>
            </w:pPr>
            <w:r>
              <w:rPr>
                <w:b/>
                <w:bCs/>
                <w:color w:val="0969DA"/>
              </w:rPr>
              <w:t>Kernthese dieses Papiers</w:t>
            </w:r>
          </w:p>
          <w:p w14:paraId="470CDDCB" w14:textId="77777777" w:rsidR="00B7283D" w:rsidRDefault="00000000">
            <w:pPr>
              <w:spacing w:line="276" w:lineRule="auto"/>
            </w:pPr>
            <w:r>
              <w:t xml:space="preserve">Die Kompetenzorientierung ist als </w:t>
            </w:r>
            <w:r>
              <w:rPr>
                <w:b/>
                <w:bCs/>
              </w:rPr>
              <w:t>Zielbeschreibung</w:t>
            </w:r>
            <w:r>
              <w:t xml:space="preserve"> kognitionspsychologisch unproblematisch – als </w:t>
            </w:r>
            <w:r>
              <w:rPr>
                <w:b/>
                <w:bCs/>
              </w:rPr>
              <w:t>Methodenlehre</w:t>
            </w:r>
            <w:r>
              <w:t xml:space="preserve"> gelesen kollidiert sie frontal mit der Expertiseforschung. Prozessbezogene Kompetenzen sind kein eigenständig trainierbarer Lerngegenstand, sondern das </w:t>
            </w:r>
            <w:r>
              <w:rPr>
                <w:i/>
                <w:iCs/>
              </w:rPr>
              <w:t>Erscheinungsbild</w:t>
            </w:r>
            <w:r>
              <w:t xml:space="preserve"> gut organisierten, automatisierten Fachwissens. Wer die Automatisierungsphase kürzt, um „höhere“ Prozesse zu üben, sägt am Fundament genau der Kompetenzen, die er fördern will. Der Widerspruch ist real, aber konditional: Er verschwindet, sobald Instruktionsgrad und Offenheit dem Expertisegrad folgen – Sequenzierung statt Entweder-oder.</w:t>
            </w:r>
          </w:p>
        </w:tc>
      </w:tr>
    </w:tbl>
    <w:p w14:paraId="11C63D62" w14:textId="77777777" w:rsidR="00B7283D" w:rsidRDefault="00B7283D">
      <w:pPr>
        <w:spacing w:after="120"/>
      </w:pPr>
    </w:p>
    <w:p w14:paraId="7D2D8C99" w14:textId="77777777" w:rsidR="00B7283D" w:rsidRDefault="00000000">
      <w:pPr>
        <w:pStyle w:val="Heading1"/>
        <w:spacing w:before="360" w:after="160"/>
      </w:pPr>
      <w:r>
        <w:rPr>
          <w:b/>
          <w:bCs/>
          <w:color w:val="0969DA"/>
          <w:sz w:val="30"/>
          <w:szCs w:val="30"/>
        </w:rPr>
        <w:t>1  Anlass und Leitfrage</w:t>
      </w:r>
    </w:p>
    <w:p w14:paraId="5777CC08" w14:textId="77777777" w:rsidR="00B7283D" w:rsidRDefault="00000000">
      <w:pPr>
        <w:spacing w:after="160" w:line="288" w:lineRule="auto"/>
      </w:pPr>
      <w:r>
        <w:t>Die geltenden Bildungspläne stellen prozessbezogene Kompetenzen in den Vordergrund – etwa „Informationen aufnehmen, strukturieren und durchdringen“, „eigene Lösungen entwickeln, argumentieren und darstellen“ oder „Sachverhalte kritisch prüfen, Urteile fällen und ethisch abwägen“. In der Umsetzungspraxis ging und geht dies vielerorts mit einer radikalen Reduktion von Übung, Wiederholung und Memorierung einher: Unterrichtszeit wandert von den „unteren“ zu den „oberen“ Stufen der Bloomschen Taxonomie.</w:t>
      </w:r>
    </w:p>
    <w:p w14:paraId="29DB31E3" w14:textId="77777777" w:rsidR="00B7283D" w:rsidRDefault="00000000">
      <w:pPr>
        <w:spacing w:after="160" w:line="288" w:lineRule="auto"/>
      </w:pPr>
      <w:r>
        <w:t xml:space="preserve">Die Leitfrage dieses Papiers lautet: </w:t>
      </w:r>
      <w:r>
        <w:rPr>
          <w:i/>
          <w:iCs/>
        </w:rPr>
        <w:t>Sind höhere kognitive Prozesse überhaupt unterrichtbar, bevor das fachliche Fundament – einschließlich der notwendigen Internalisierung und Automatisierung – gelegt ist? Und wenn nein: Was folgt daraus für die Gewichtung von Übung und Kompetenzformaten im Unterricht?</w:t>
      </w:r>
    </w:p>
    <w:p w14:paraId="5915A948" w14:textId="77777777" w:rsidR="00B7283D" w:rsidRDefault="00000000">
      <w:pPr>
        <w:pStyle w:val="Heading1"/>
        <w:spacing w:before="360" w:after="160"/>
      </w:pPr>
      <w:r>
        <w:rPr>
          <w:b/>
          <w:bCs/>
          <w:color w:val="0969DA"/>
          <w:sz w:val="30"/>
          <w:szCs w:val="30"/>
        </w:rPr>
        <w:t>2  Der kognitionspsychologische Befund</w:t>
      </w:r>
    </w:p>
    <w:p w14:paraId="2F0C0480" w14:textId="77777777" w:rsidR="00B7283D" w:rsidRDefault="00000000">
      <w:pPr>
        <w:spacing w:after="160" w:line="288" w:lineRule="auto"/>
      </w:pPr>
      <w:r>
        <w:rPr>
          <w:b/>
          <w:bCs/>
        </w:rPr>
        <w:t xml:space="preserve">Expertise ist Mustererkennung, nicht generisches Denken – </w:t>
      </w:r>
      <w:r>
        <w:t>Seit den Schachstudien von de Groot sowie Chase und Simon gilt: Was von außen wie überlegene allgemeine Denkfähigkeit aussieht, ist fast vollständig domänenspezifische Mustererkennung. Der Meister „denkt“ nicht besser als der Amateur – er verfügt über zehntausende automatisierte Wissenseinheiten (Chunks) im Langzeitgedächtnis, die ihm Bewertungen liefern, für die der Amateur sein Arbeitsgedächtnis quälen müsste.</w:t>
      </w:r>
    </w:p>
    <w:p w14:paraId="7B157811" w14:textId="77777777" w:rsidR="00B7283D" w:rsidRDefault="00000000">
      <w:pPr>
        <w:spacing w:after="160" w:line="288" w:lineRule="auto"/>
      </w:pPr>
      <w:r>
        <w:rPr>
          <w:b/>
          <w:bCs/>
        </w:rPr>
        <w:t xml:space="preserve">Fachwissen dominiert den „Prozess“ – </w:t>
      </w:r>
      <w:r>
        <w:t>Recht und Leslie zeigten: Schwache Leser mit hohem Baseball-Wissen verstanden einen Baseball-Text besser als starke Leser ohne dieses Wissen. Die vermeintlich prozessbezogene Kompetenz „Texte durchdringen“ wurde vom Fachwissen dominiert – nicht umgekehrt.</w:t>
      </w:r>
    </w:p>
    <w:p w14:paraId="01AC0EA7" w14:textId="77777777" w:rsidR="00B7283D" w:rsidRDefault="00000000">
      <w:pPr>
        <w:spacing w:after="160" w:line="288" w:lineRule="auto"/>
      </w:pPr>
      <w:r>
        <w:rPr>
          <w:b/>
          <w:bCs/>
        </w:rPr>
        <w:t xml:space="preserve">Generische Kompetenzen sind kaum unterrichtbar – </w:t>
      </w:r>
      <w:r>
        <w:t>Tricot und Sweller ziehen die schärfste Konsequenz: Generische Fähigkeiten wie Problemlösen und kritisches Denken sind – in Gearys Terminologie – biologisch primär. Jeder Mensch besitzt sie bereits und wendet sie automatisch an, sobald er über das nötige Wissen verfügt. Unterrichtbar ist nicht die Kompetenz, sondern das domänenspezifische (biologisch sekundäre) Wissen, an dem sie sich entfaltet. Willingham ergänzt: Kritisches Denken ist keine übertragbare Fertigkeit wie Radfahren, sondern untrennbar an Wissensinhalte gebunden.</w:t>
      </w:r>
    </w:p>
    <w:p w14:paraId="40BAD47D" w14:textId="77777777" w:rsidR="00B7283D" w:rsidRDefault="00000000">
      <w:pPr>
        <w:spacing w:after="160" w:line="288" w:lineRule="auto"/>
      </w:pPr>
      <w:r>
        <w:rPr>
          <w:b/>
          <w:bCs/>
        </w:rPr>
        <w:lastRenderedPageBreak/>
        <w:t xml:space="preserve">Ferntransfer ist nahezu null – </w:t>
      </w:r>
      <w:r>
        <w:t>Die Transferforschung (Sala und Gobet, metaanalytisch) ernüchtert: Trainierte „Denkfähigkeiten“ übertragen sich kaum auf andere Domänen. Schach macht gute Schachspieler, Latein gute Lateiner – die erhoffte allgemeine Denkschulung bleibt empirisch aus.</w:t>
      </w:r>
    </w:p>
    <w:p w14:paraId="5A76A59D" w14:textId="77777777" w:rsidR="00B7283D" w:rsidRDefault="00000000">
      <w:pPr>
        <w:pStyle w:val="Heading1"/>
        <w:spacing w:before="360" w:after="160"/>
      </w:pPr>
      <w:r>
        <w:rPr>
          <w:b/>
          <w:bCs/>
          <w:color w:val="0969DA"/>
          <w:sz w:val="30"/>
          <w:szCs w:val="30"/>
        </w:rPr>
        <w:t>3  Die Schichtung: Warum Automatisierung Vorleistung ist</w:t>
      </w:r>
    </w:p>
    <w:p w14:paraId="14BC5F97" w14:textId="77777777" w:rsidR="00B7283D" w:rsidRDefault="00000000">
      <w:pPr>
        <w:spacing w:after="160" w:line="288" w:lineRule="auto"/>
      </w:pPr>
      <w:r>
        <w:t>Das Arbeitsgedächtnis verarbeitet nur wenige Einheiten gleichzeitig – es ist der Flaschenhals allen Lernens. Durch Übung und Wiederholung bündelt das Gehirn Einzelinformationen zu Schemata und verschiebt sie ins Langzeitgedächtnis; automatisierte Prozeduren laufen fortan ohne bewusste Kontrolle ab. Erst diese Entlastung schafft die freie Kapazität, auf der Analyse, Bewertung und kreatives Problemlösen operieren können.</w:t>
      </w:r>
    </w:p>
    <w:p w14:paraId="19ABD862" w14:textId="77777777" w:rsidR="00B7283D" w:rsidRDefault="00000000">
      <w:pPr>
        <w:spacing w:after="160" w:line="288" w:lineRule="auto"/>
      </w:pPr>
      <w:r>
        <w:t xml:space="preserve">Blooms Taxonomie wird in der Reformrezeption gern als Aufforderung gelesen, möglichst viel Unterrichtszeit „oben“ zu verbringen. Die Kognitionspsychologie liest sie umgekehrt – </w:t>
      </w:r>
      <w:r>
        <w:rPr>
          <w:i/>
          <w:iCs/>
        </w:rPr>
        <w:t>statisch</w:t>
      </w:r>
      <w:r>
        <w:t xml:space="preserve">: Die oberen Stockwerke sind keine alternativen Aufenthaltsorte, sondern ruhen auf den unteren. Wer den Unterbau kürzt, erhält oben kein Denken, sondern </w:t>
      </w:r>
      <w:r>
        <w:rPr>
          <w:b/>
          <w:bCs/>
        </w:rPr>
        <w:t>Simulation von Denken</w:t>
      </w:r>
      <w:r>
        <w:t xml:space="preserve"> – inhaltsleere Diskursrituale, in denen Lernende „kritisch prüfen“ und „Urteile fällen“ über Sachverhalte, die sie nicht durchdrungen haben.</w:t>
      </w:r>
    </w:p>
    <w:p w14:paraId="7098E7BD" w14:textId="77777777" w:rsidR="00B7283D" w:rsidRDefault="00000000">
      <w:pPr>
        <w:pStyle w:val="Heading1"/>
        <w:spacing w:before="360" w:after="160"/>
      </w:pPr>
      <w:r>
        <w:rPr>
          <w:b/>
          <w:bCs/>
          <w:color w:val="0969DA"/>
          <w:sz w:val="30"/>
          <w:szCs w:val="30"/>
        </w:rPr>
        <w:t>4  Der Kategorienfehler: Zielbeschreibung wird Methodenlehre</w:t>
      </w:r>
    </w:p>
    <w:p w14:paraId="34FF2A15" w14:textId="77777777" w:rsidR="00B7283D" w:rsidRDefault="00000000">
      <w:pPr>
        <w:spacing w:after="160" w:line="288" w:lineRule="auto"/>
      </w:pPr>
      <w:r>
        <w:t>Der eigentliche Konstruktionsfehler der Debatte ist ein Kategorienfehler. Weinerts Kompetenzbegriff, auf dem die Klieme-Expertise und damit die Bildungsstandards fußen, beschreibt ein Ergebnis (Outcome): erlernbare kognitive Fähigkeiten und Fertigkeiten zur Problemlösung, verbunden mit der motivationalen und sozialen Bereitschaft, sie in variablen Situationen erfolgreich und verantwortungsvoll zu nutzen. Wissen und Fertigkeiten sind darin ausdrücklich eingeschlossen. Nirgendwo folgt daraus, Übung und Memorierung seien zu reduzieren.</w:t>
      </w:r>
    </w:p>
    <w:p w14:paraId="3BFE3B2D" w14:textId="77777777" w:rsidR="00B7283D" w:rsidRDefault="00000000">
      <w:pPr>
        <w:spacing w:after="160" w:line="288" w:lineRule="auto"/>
      </w:pPr>
      <w:r>
        <w:t xml:space="preserve">Der Kurzschluss entstand in der Umsetzungspraxis: Wenn das Ziel „Argumentieren“ heißt, so die implizite Logik, muss auch die Lernhandlung Argumentieren sein. Kirschner, Sweller und Clark haben genau diese Logik als Kernirrtum minimal geführter Instruktion identifiziert: Novizen lernen nicht, indem sie die Zielhandlung von Experten imitieren, weil ihnen die Schemata fehlen, die diese Handlung bei Experten überhaupt tragen. </w:t>
      </w:r>
      <w:r>
        <w:rPr>
          <w:b/>
          <w:bCs/>
        </w:rPr>
        <w:t>Die Zielhandlung des Experten zur Lernhandlung des Anfängers zu machen, ist ein Strukturfehler</w:t>
      </w:r>
      <w:r>
        <w:t xml:space="preserve"> – derselbe, der auch dem KI-Einsatz „ab Tag eins“ zugrunde liegt (siehe Abschnitt 8).</w:t>
      </w:r>
    </w:p>
    <w:p w14:paraId="2330F522" w14:textId="77777777" w:rsidR="00B7283D" w:rsidRDefault="00000000">
      <w:pPr>
        <w:pStyle w:val="Heading1"/>
        <w:spacing w:before="360" w:after="160"/>
      </w:pPr>
      <w:r>
        <w:rPr>
          <w:b/>
          <w:bCs/>
          <w:color w:val="0969DA"/>
          <w:sz w:val="30"/>
          <w:szCs w:val="30"/>
        </w:rPr>
        <w:t>5  Der wahre Kern der Reform – und die Gegenevidenz zur Gegenposition</w:t>
      </w:r>
    </w:p>
    <w:p w14:paraId="2838CD47" w14:textId="77777777" w:rsidR="00B7283D" w:rsidRDefault="00000000">
      <w:pPr>
        <w:spacing w:after="160" w:line="288" w:lineRule="auto"/>
      </w:pPr>
      <w:r>
        <w:t xml:space="preserve">Zur fairen Bilanz gehört: Die Kompetenzorientierung reagierte auf ein reales Problem – das </w:t>
      </w:r>
      <w:r>
        <w:rPr>
          <w:b/>
          <w:bCs/>
        </w:rPr>
        <w:t>träge Wissen</w:t>
      </w:r>
      <w:r>
        <w:t xml:space="preserve"> (Whitehead; Renkl): gepauktes Wissen, das in Anwendungssituationen nicht abrufbar ist. Reines Drillen ohne Anwendungsvielfalt und Kontextvariation transferiert ebenfalls nicht. Wer nur Verfahren memoriert, ohne sie an variierenden Problemen einzusetzen, produziert Fassadenwissen anderer Art.</w:t>
      </w:r>
    </w:p>
    <w:p w14:paraId="2627F1EA" w14:textId="77777777" w:rsidR="00B7283D" w:rsidRDefault="00000000">
      <w:pPr>
        <w:spacing w:after="160" w:line="288" w:lineRule="auto"/>
      </w:pPr>
      <w:r>
        <w:t xml:space="preserve">Die Forschung liefert der Reformseite zudem echte Munition: Der </w:t>
      </w:r>
      <w:r>
        <w:rPr>
          <w:b/>
          <w:bCs/>
        </w:rPr>
        <w:t>Expertise Reversal Effect</w:t>
      </w:r>
      <w:r>
        <w:t xml:space="preserve"> (Kalyuga u. a.) zeigt, dass starke Führung und kleinschrittiger Drill für Fortgeschrittene kontraproduktiv werden – was Novizen hilft, bremst Könner. Kapurs </w:t>
      </w:r>
      <w:r>
        <w:rPr>
          <w:b/>
          <w:bCs/>
        </w:rPr>
        <w:t>Productive Failure</w:t>
      </w:r>
      <w:r>
        <w:t xml:space="preserve"> zeigt, dass vorgeschaltete offene Problemlösephasen lernwirksam sein können – allerdings, und das ist die entscheidende Fußnote, nur wenn anschließend explizite Instruktion folgt. Metaanalysen zum kritischen Denken (Abrami u. a.) finden Effekte expliziter Vermittlung – aber nur eingebettet in reichhaltigen Fachinhalt, nicht als freischwebendes Skill-Training.</w:t>
      </w:r>
    </w:p>
    <w:p w14:paraId="65785EAB" w14:textId="77777777" w:rsidR="00B7283D" w:rsidRDefault="00000000">
      <w:pPr>
        <w:spacing w:after="160" w:line="288" w:lineRule="auto"/>
      </w:pPr>
      <w:r>
        <w:t xml:space="preserve">Die Gegenposition „zurück zum reinen Pauken“ ist damit ebenso unhaltbar wie die Reformpraxis „Kompetenzen statt Übung“. Tragfähig ist allein die Sequenz: erst geführte Instruktion und Automatisierung, </w:t>
      </w:r>
      <w:r>
        <w:lastRenderedPageBreak/>
        <w:t>dann – mit wachsendem Expertisegrad – zunehmend offene, anwendungsvariierende und urteilende Formate.</w:t>
      </w:r>
    </w:p>
    <w:p w14:paraId="55D4BCF5" w14:textId="77777777" w:rsidR="00B7283D" w:rsidRDefault="00000000">
      <w:pPr>
        <w:pStyle w:val="Heading1"/>
        <w:spacing w:before="360" w:after="160"/>
      </w:pPr>
      <w:r>
        <w:rPr>
          <w:b/>
          <w:bCs/>
          <w:color w:val="0969DA"/>
          <w:sz w:val="30"/>
          <w:szCs w:val="30"/>
        </w:rPr>
        <w:t>6  Synopse: Zwei Lesarten der Kompetenzorientierung</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2326"/>
        <w:gridCol w:w="3303"/>
        <w:gridCol w:w="3397"/>
      </w:tblGrid>
      <w:tr w:rsidR="00B7283D" w14:paraId="4E2C7456" w14:textId="77777777">
        <w:tblPrEx>
          <w:tblCellMar>
            <w:top w:w="0" w:type="dxa"/>
            <w:bottom w:w="0" w:type="dxa"/>
          </w:tblCellMar>
        </w:tblPrEx>
        <w:trPr>
          <w:tblHeader/>
        </w:trPr>
        <w:tc>
          <w:tcPr>
            <w:tcW w:w="1900" w:type="dxa"/>
            <w:shd w:val="clear" w:color="auto" w:fill="0969DA"/>
            <w:tcMar>
              <w:top w:w="100" w:type="dxa"/>
              <w:left w:w="140" w:type="dxa"/>
              <w:bottom w:w="100" w:type="dxa"/>
              <w:right w:w="140" w:type="dxa"/>
            </w:tcMar>
          </w:tcPr>
          <w:p w14:paraId="5D61DFFD" w14:textId="77777777" w:rsidR="00B7283D" w:rsidRDefault="00000000">
            <w:pPr>
              <w:spacing w:line="264" w:lineRule="auto"/>
            </w:pPr>
            <w:r>
              <w:rPr>
                <w:b/>
                <w:bCs/>
                <w:color w:val="FFFFFF"/>
                <w:sz w:val="20"/>
                <w:szCs w:val="20"/>
              </w:rPr>
              <w:t>Dimension</w:t>
            </w:r>
          </w:p>
        </w:tc>
        <w:tc>
          <w:tcPr>
            <w:tcW w:w="3563" w:type="dxa"/>
            <w:shd w:val="clear" w:color="auto" w:fill="0969DA"/>
            <w:tcMar>
              <w:top w:w="100" w:type="dxa"/>
              <w:left w:w="140" w:type="dxa"/>
              <w:bottom w:w="100" w:type="dxa"/>
              <w:right w:w="140" w:type="dxa"/>
            </w:tcMar>
          </w:tcPr>
          <w:p w14:paraId="0EDAD6B6" w14:textId="77777777" w:rsidR="00B7283D" w:rsidRDefault="00000000">
            <w:pPr>
              <w:spacing w:line="264" w:lineRule="auto"/>
            </w:pPr>
            <w:r>
              <w:rPr>
                <w:b/>
                <w:bCs/>
                <w:color w:val="FFFFFF"/>
                <w:sz w:val="20"/>
                <w:szCs w:val="20"/>
              </w:rPr>
              <w:t>Lesart der Reformpraxis</w:t>
            </w:r>
          </w:p>
        </w:tc>
        <w:tc>
          <w:tcPr>
            <w:tcW w:w="3563" w:type="dxa"/>
            <w:shd w:val="clear" w:color="auto" w:fill="0969DA"/>
            <w:tcMar>
              <w:top w:w="100" w:type="dxa"/>
              <w:left w:w="140" w:type="dxa"/>
              <w:bottom w:w="100" w:type="dxa"/>
              <w:right w:w="140" w:type="dxa"/>
            </w:tcMar>
          </w:tcPr>
          <w:p w14:paraId="7C6BC9DF" w14:textId="77777777" w:rsidR="00B7283D" w:rsidRDefault="00000000">
            <w:pPr>
              <w:spacing w:line="264" w:lineRule="auto"/>
            </w:pPr>
            <w:r>
              <w:rPr>
                <w:b/>
                <w:bCs/>
                <w:color w:val="FFFFFF"/>
                <w:sz w:val="20"/>
                <w:szCs w:val="20"/>
              </w:rPr>
              <w:t>Lesart der Kognitionspsychologie</w:t>
            </w:r>
          </w:p>
        </w:tc>
      </w:tr>
      <w:tr w:rsidR="00B7283D" w14:paraId="0AB051E7" w14:textId="77777777">
        <w:tblPrEx>
          <w:tblCellMar>
            <w:top w:w="0" w:type="dxa"/>
            <w:bottom w:w="0" w:type="dxa"/>
          </w:tblCellMar>
        </w:tblPrEx>
        <w:tc>
          <w:tcPr>
            <w:tcW w:w="1900" w:type="dxa"/>
            <w:tcMar>
              <w:top w:w="100" w:type="dxa"/>
              <w:left w:w="140" w:type="dxa"/>
              <w:bottom w:w="100" w:type="dxa"/>
              <w:right w:w="140" w:type="dxa"/>
            </w:tcMar>
          </w:tcPr>
          <w:p w14:paraId="1A77D88B" w14:textId="77777777" w:rsidR="00B7283D" w:rsidRDefault="00000000">
            <w:pPr>
              <w:spacing w:line="264" w:lineRule="auto"/>
            </w:pPr>
            <w:r>
              <w:rPr>
                <w:b/>
                <w:bCs/>
                <w:sz w:val="20"/>
                <w:szCs w:val="20"/>
              </w:rPr>
              <w:t>Bloom-Taxonomie</w:t>
            </w:r>
          </w:p>
        </w:tc>
        <w:tc>
          <w:tcPr>
            <w:tcW w:w="3563" w:type="dxa"/>
            <w:tcMar>
              <w:top w:w="100" w:type="dxa"/>
              <w:left w:w="140" w:type="dxa"/>
              <w:bottom w:w="100" w:type="dxa"/>
              <w:right w:w="140" w:type="dxa"/>
            </w:tcMar>
          </w:tcPr>
          <w:p w14:paraId="02BB030C" w14:textId="77777777" w:rsidR="00B7283D" w:rsidRDefault="00000000">
            <w:pPr>
              <w:spacing w:line="264" w:lineRule="auto"/>
            </w:pPr>
            <w:r>
              <w:rPr>
                <w:sz w:val="20"/>
                <w:szCs w:val="20"/>
              </w:rPr>
              <w:t>Aufforderung, Unterrichtszeit möglichst in den oberen Stufen zu verbringen.</w:t>
            </w:r>
          </w:p>
        </w:tc>
        <w:tc>
          <w:tcPr>
            <w:tcW w:w="3563" w:type="dxa"/>
            <w:tcMar>
              <w:top w:w="100" w:type="dxa"/>
              <w:left w:w="140" w:type="dxa"/>
              <w:bottom w:w="100" w:type="dxa"/>
              <w:right w:w="140" w:type="dxa"/>
            </w:tcMar>
          </w:tcPr>
          <w:p w14:paraId="5B709FD3" w14:textId="77777777" w:rsidR="00B7283D" w:rsidRDefault="00000000">
            <w:pPr>
              <w:spacing w:line="264" w:lineRule="auto"/>
            </w:pPr>
            <w:r>
              <w:rPr>
                <w:sz w:val="20"/>
                <w:szCs w:val="20"/>
              </w:rPr>
              <w:t>Statik eines Gebäudes: Die oberen Stufen ruhen auf den unteren; ohne Unterbau nur Simulation von Denken.</w:t>
            </w:r>
          </w:p>
        </w:tc>
      </w:tr>
      <w:tr w:rsidR="00B7283D" w14:paraId="73444C24" w14:textId="77777777">
        <w:tblPrEx>
          <w:tblCellMar>
            <w:top w:w="0" w:type="dxa"/>
            <w:bottom w:w="0" w:type="dxa"/>
          </w:tblCellMar>
        </w:tblPrEx>
        <w:tc>
          <w:tcPr>
            <w:tcW w:w="1900" w:type="dxa"/>
            <w:shd w:val="clear" w:color="auto" w:fill="F6F8FA"/>
            <w:tcMar>
              <w:top w:w="100" w:type="dxa"/>
              <w:left w:w="140" w:type="dxa"/>
              <w:bottom w:w="100" w:type="dxa"/>
              <w:right w:w="140" w:type="dxa"/>
            </w:tcMar>
          </w:tcPr>
          <w:p w14:paraId="2942B2C8" w14:textId="77777777" w:rsidR="00B7283D" w:rsidRDefault="00000000">
            <w:pPr>
              <w:spacing w:line="264" w:lineRule="auto"/>
            </w:pPr>
            <w:r>
              <w:rPr>
                <w:b/>
                <w:bCs/>
                <w:sz w:val="20"/>
                <w:szCs w:val="20"/>
              </w:rPr>
              <w:t>Prozesskompetenzen</w:t>
            </w:r>
          </w:p>
        </w:tc>
        <w:tc>
          <w:tcPr>
            <w:tcW w:w="3563" w:type="dxa"/>
            <w:shd w:val="clear" w:color="auto" w:fill="F6F8FA"/>
            <w:tcMar>
              <w:top w:w="100" w:type="dxa"/>
              <w:left w:w="140" w:type="dxa"/>
              <w:bottom w:w="100" w:type="dxa"/>
              <w:right w:w="140" w:type="dxa"/>
            </w:tcMar>
          </w:tcPr>
          <w:p w14:paraId="7ED16E68" w14:textId="77777777" w:rsidR="00B7283D" w:rsidRDefault="00000000">
            <w:pPr>
              <w:spacing w:line="264" w:lineRule="auto"/>
            </w:pPr>
            <w:r>
              <w:rPr>
                <w:sz w:val="20"/>
                <w:szCs w:val="20"/>
              </w:rPr>
              <w:t>Eigenständig unterrichtbare, fachübergreifende Fähigkeiten.</w:t>
            </w:r>
          </w:p>
        </w:tc>
        <w:tc>
          <w:tcPr>
            <w:tcW w:w="3563" w:type="dxa"/>
            <w:shd w:val="clear" w:color="auto" w:fill="F6F8FA"/>
            <w:tcMar>
              <w:top w:w="100" w:type="dxa"/>
              <w:left w:w="140" w:type="dxa"/>
              <w:bottom w:w="100" w:type="dxa"/>
              <w:right w:w="140" w:type="dxa"/>
            </w:tcMar>
          </w:tcPr>
          <w:p w14:paraId="43857E1F" w14:textId="77777777" w:rsidR="00B7283D" w:rsidRDefault="00000000">
            <w:pPr>
              <w:spacing w:line="264" w:lineRule="auto"/>
            </w:pPr>
            <w:r>
              <w:rPr>
                <w:sz w:val="20"/>
                <w:szCs w:val="20"/>
              </w:rPr>
              <w:t>Erscheinungsbild automatisierten Fachwissens; biologisch primär – sie entfalten sich von selbst am Wissen.</w:t>
            </w:r>
          </w:p>
        </w:tc>
      </w:tr>
      <w:tr w:rsidR="00B7283D" w14:paraId="422D439C" w14:textId="77777777">
        <w:tblPrEx>
          <w:tblCellMar>
            <w:top w:w="0" w:type="dxa"/>
            <w:bottom w:w="0" w:type="dxa"/>
          </w:tblCellMar>
        </w:tblPrEx>
        <w:tc>
          <w:tcPr>
            <w:tcW w:w="1900" w:type="dxa"/>
            <w:tcMar>
              <w:top w:w="100" w:type="dxa"/>
              <w:left w:w="140" w:type="dxa"/>
              <w:bottom w:w="100" w:type="dxa"/>
              <w:right w:w="140" w:type="dxa"/>
            </w:tcMar>
          </w:tcPr>
          <w:p w14:paraId="1E29FBF7" w14:textId="77777777" w:rsidR="00B7283D" w:rsidRDefault="00000000">
            <w:pPr>
              <w:spacing w:line="264" w:lineRule="auto"/>
            </w:pPr>
            <w:r>
              <w:rPr>
                <w:b/>
                <w:bCs/>
                <w:sz w:val="20"/>
                <w:szCs w:val="20"/>
              </w:rPr>
              <w:t>Rolle des Wissens</w:t>
            </w:r>
          </w:p>
        </w:tc>
        <w:tc>
          <w:tcPr>
            <w:tcW w:w="3563" w:type="dxa"/>
            <w:tcMar>
              <w:top w:w="100" w:type="dxa"/>
              <w:left w:w="140" w:type="dxa"/>
              <w:bottom w:w="100" w:type="dxa"/>
              <w:right w:w="140" w:type="dxa"/>
            </w:tcMar>
          </w:tcPr>
          <w:p w14:paraId="4BB3E203" w14:textId="77777777" w:rsidR="00B7283D" w:rsidRDefault="00000000">
            <w:pPr>
              <w:spacing w:line="264" w:lineRule="auto"/>
            </w:pPr>
            <w:r>
              <w:rPr>
                <w:sz w:val="20"/>
                <w:szCs w:val="20"/>
              </w:rPr>
              <w:t>Austauschbarer Träger; bei Bedarf extern abrufbar („nachschlagen statt lernen“).</w:t>
            </w:r>
          </w:p>
        </w:tc>
        <w:tc>
          <w:tcPr>
            <w:tcW w:w="3563" w:type="dxa"/>
            <w:tcMar>
              <w:top w:w="100" w:type="dxa"/>
              <w:left w:w="140" w:type="dxa"/>
              <w:bottom w:w="100" w:type="dxa"/>
              <w:right w:w="140" w:type="dxa"/>
            </w:tcMar>
          </w:tcPr>
          <w:p w14:paraId="4EF2582B" w14:textId="77777777" w:rsidR="00B7283D" w:rsidRDefault="00000000">
            <w:pPr>
              <w:spacing w:line="264" w:lineRule="auto"/>
            </w:pPr>
            <w:r>
              <w:rPr>
                <w:sz w:val="20"/>
                <w:szCs w:val="20"/>
              </w:rPr>
              <w:t>Konstitutiv: Denken operiert auf Inhalten des Langzeitgedächtnisses, nicht auf externen Quellen.</w:t>
            </w:r>
          </w:p>
        </w:tc>
      </w:tr>
      <w:tr w:rsidR="00B7283D" w14:paraId="246E8AC6" w14:textId="77777777">
        <w:tblPrEx>
          <w:tblCellMar>
            <w:top w:w="0" w:type="dxa"/>
            <w:bottom w:w="0" w:type="dxa"/>
          </w:tblCellMar>
        </w:tblPrEx>
        <w:tc>
          <w:tcPr>
            <w:tcW w:w="1900" w:type="dxa"/>
            <w:shd w:val="clear" w:color="auto" w:fill="F6F8FA"/>
            <w:tcMar>
              <w:top w:w="100" w:type="dxa"/>
              <w:left w:w="140" w:type="dxa"/>
              <w:bottom w:w="100" w:type="dxa"/>
              <w:right w:w="140" w:type="dxa"/>
            </w:tcMar>
          </w:tcPr>
          <w:p w14:paraId="5D879747" w14:textId="77777777" w:rsidR="00B7283D" w:rsidRDefault="00000000">
            <w:pPr>
              <w:spacing w:line="264" w:lineRule="auto"/>
            </w:pPr>
            <w:r>
              <w:rPr>
                <w:b/>
                <w:bCs/>
                <w:sz w:val="20"/>
                <w:szCs w:val="20"/>
              </w:rPr>
              <w:t>Übung und Memorierung</w:t>
            </w:r>
          </w:p>
        </w:tc>
        <w:tc>
          <w:tcPr>
            <w:tcW w:w="3563" w:type="dxa"/>
            <w:shd w:val="clear" w:color="auto" w:fill="F6F8FA"/>
            <w:tcMar>
              <w:top w:w="100" w:type="dxa"/>
              <w:left w:w="140" w:type="dxa"/>
              <w:bottom w:w="100" w:type="dxa"/>
              <w:right w:w="140" w:type="dxa"/>
            </w:tcMar>
          </w:tcPr>
          <w:p w14:paraId="35C3764E" w14:textId="77777777" w:rsidR="00B7283D" w:rsidRDefault="00000000">
            <w:pPr>
              <w:spacing w:line="264" w:lineRule="auto"/>
            </w:pPr>
            <w:r>
              <w:rPr>
                <w:sz w:val="20"/>
                <w:szCs w:val="20"/>
              </w:rPr>
              <w:t>Reduzierbar zugunsten höherer Prozesse; „Drill“ gilt als überholt.</w:t>
            </w:r>
          </w:p>
        </w:tc>
        <w:tc>
          <w:tcPr>
            <w:tcW w:w="3563" w:type="dxa"/>
            <w:shd w:val="clear" w:color="auto" w:fill="F6F8FA"/>
            <w:tcMar>
              <w:top w:w="100" w:type="dxa"/>
              <w:left w:w="140" w:type="dxa"/>
              <w:bottom w:w="100" w:type="dxa"/>
              <w:right w:w="140" w:type="dxa"/>
            </w:tcMar>
          </w:tcPr>
          <w:p w14:paraId="269E5D50" w14:textId="77777777" w:rsidR="00B7283D" w:rsidRDefault="00000000">
            <w:pPr>
              <w:spacing w:line="264" w:lineRule="auto"/>
            </w:pPr>
            <w:r>
              <w:rPr>
                <w:sz w:val="20"/>
                <w:szCs w:val="20"/>
              </w:rPr>
              <w:t>Vorleistung der höheren Prozesse; Automatisierung entlastet das Arbeitsgedächtnis und macht sie erst möglich.</w:t>
            </w:r>
          </w:p>
        </w:tc>
      </w:tr>
      <w:tr w:rsidR="00B7283D" w14:paraId="2C2D8D3C" w14:textId="77777777">
        <w:tblPrEx>
          <w:tblCellMar>
            <w:top w:w="0" w:type="dxa"/>
            <w:bottom w:w="0" w:type="dxa"/>
          </w:tblCellMar>
        </w:tblPrEx>
        <w:tc>
          <w:tcPr>
            <w:tcW w:w="1900" w:type="dxa"/>
            <w:tcMar>
              <w:top w:w="100" w:type="dxa"/>
              <w:left w:w="140" w:type="dxa"/>
              <w:bottom w:w="100" w:type="dxa"/>
              <w:right w:w="140" w:type="dxa"/>
            </w:tcMar>
          </w:tcPr>
          <w:p w14:paraId="3FCE970F" w14:textId="77777777" w:rsidR="00B7283D" w:rsidRDefault="00000000">
            <w:pPr>
              <w:spacing w:line="264" w:lineRule="auto"/>
            </w:pPr>
            <w:r>
              <w:rPr>
                <w:b/>
                <w:bCs/>
                <w:sz w:val="20"/>
                <w:szCs w:val="20"/>
              </w:rPr>
              <w:t>Lernhandlung</w:t>
            </w:r>
          </w:p>
        </w:tc>
        <w:tc>
          <w:tcPr>
            <w:tcW w:w="3563" w:type="dxa"/>
            <w:tcMar>
              <w:top w:w="100" w:type="dxa"/>
              <w:left w:w="140" w:type="dxa"/>
              <w:bottom w:w="100" w:type="dxa"/>
              <w:right w:w="140" w:type="dxa"/>
            </w:tcMar>
          </w:tcPr>
          <w:p w14:paraId="7385FF13" w14:textId="77777777" w:rsidR="00B7283D" w:rsidRDefault="00000000">
            <w:pPr>
              <w:spacing w:line="264" w:lineRule="auto"/>
            </w:pPr>
            <w:r>
              <w:rPr>
                <w:sz w:val="20"/>
                <w:szCs w:val="20"/>
              </w:rPr>
              <w:t>Zielhandlung = Lernhandlung: Argumentieren lernt man durch Argumentieren.</w:t>
            </w:r>
          </w:p>
        </w:tc>
        <w:tc>
          <w:tcPr>
            <w:tcW w:w="3563" w:type="dxa"/>
            <w:tcMar>
              <w:top w:w="100" w:type="dxa"/>
              <w:left w:w="140" w:type="dxa"/>
              <w:bottom w:w="100" w:type="dxa"/>
              <w:right w:w="140" w:type="dxa"/>
            </w:tcMar>
          </w:tcPr>
          <w:p w14:paraId="769779EE" w14:textId="77777777" w:rsidR="00B7283D" w:rsidRDefault="00000000">
            <w:pPr>
              <w:spacing w:line="264" w:lineRule="auto"/>
            </w:pPr>
            <w:r>
              <w:rPr>
                <w:sz w:val="20"/>
                <w:szCs w:val="20"/>
              </w:rPr>
              <w:t>Novizen brauchen geführte Instruktion und Beispiele; die Expertenhandlung überfordert ohne Schemata.</w:t>
            </w:r>
          </w:p>
        </w:tc>
      </w:tr>
      <w:tr w:rsidR="00B7283D" w14:paraId="6BCE69EA" w14:textId="77777777">
        <w:tblPrEx>
          <w:tblCellMar>
            <w:top w:w="0" w:type="dxa"/>
            <w:bottom w:w="0" w:type="dxa"/>
          </w:tblCellMar>
        </w:tblPrEx>
        <w:tc>
          <w:tcPr>
            <w:tcW w:w="1900" w:type="dxa"/>
            <w:shd w:val="clear" w:color="auto" w:fill="F6F8FA"/>
            <w:tcMar>
              <w:top w:w="100" w:type="dxa"/>
              <w:left w:w="140" w:type="dxa"/>
              <w:bottom w:w="100" w:type="dxa"/>
              <w:right w:w="140" w:type="dxa"/>
            </w:tcMar>
          </w:tcPr>
          <w:p w14:paraId="6A8FEE51" w14:textId="77777777" w:rsidR="00B7283D" w:rsidRDefault="00000000">
            <w:pPr>
              <w:spacing w:line="264" w:lineRule="auto"/>
            </w:pPr>
            <w:r>
              <w:rPr>
                <w:b/>
                <w:bCs/>
                <w:sz w:val="20"/>
                <w:szCs w:val="20"/>
              </w:rPr>
              <w:t>Transfer</w:t>
            </w:r>
          </w:p>
        </w:tc>
        <w:tc>
          <w:tcPr>
            <w:tcW w:w="3563" w:type="dxa"/>
            <w:shd w:val="clear" w:color="auto" w:fill="F6F8FA"/>
            <w:tcMar>
              <w:top w:w="100" w:type="dxa"/>
              <w:left w:w="140" w:type="dxa"/>
              <w:bottom w:w="100" w:type="dxa"/>
              <w:right w:w="140" w:type="dxa"/>
            </w:tcMar>
          </w:tcPr>
          <w:p w14:paraId="2EB68A1F" w14:textId="77777777" w:rsidR="00B7283D" w:rsidRDefault="00000000">
            <w:pPr>
              <w:spacing w:line="264" w:lineRule="auto"/>
            </w:pPr>
            <w:r>
              <w:rPr>
                <w:sz w:val="20"/>
                <w:szCs w:val="20"/>
              </w:rPr>
              <w:t>Trainierte Prozesse übertragen sich auf neue Inhalte und Domänen.</w:t>
            </w:r>
          </w:p>
        </w:tc>
        <w:tc>
          <w:tcPr>
            <w:tcW w:w="3563" w:type="dxa"/>
            <w:shd w:val="clear" w:color="auto" w:fill="F6F8FA"/>
            <w:tcMar>
              <w:top w:w="100" w:type="dxa"/>
              <w:left w:w="140" w:type="dxa"/>
              <w:bottom w:w="100" w:type="dxa"/>
              <w:right w:w="140" w:type="dxa"/>
            </w:tcMar>
          </w:tcPr>
          <w:p w14:paraId="2BDD81EF" w14:textId="77777777" w:rsidR="00B7283D" w:rsidRDefault="00000000">
            <w:pPr>
              <w:spacing w:line="264" w:lineRule="auto"/>
            </w:pPr>
            <w:r>
              <w:rPr>
                <w:sz w:val="20"/>
                <w:szCs w:val="20"/>
              </w:rPr>
              <w:t>Ferntransfer metaanalytisch nahezu null; Kompetenz bleibt domänengebunden.</w:t>
            </w:r>
          </w:p>
        </w:tc>
      </w:tr>
    </w:tbl>
    <w:p w14:paraId="68C229C5" w14:textId="77777777" w:rsidR="00B7283D" w:rsidRDefault="00B7283D">
      <w:pPr>
        <w:spacing w:after="120"/>
      </w:pPr>
    </w:p>
    <w:p w14:paraId="7BC95CD4" w14:textId="77777777" w:rsidR="00B7283D" w:rsidRDefault="00000000">
      <w:pPr>
        <w:pStyle w:val="Heading1"/>
        <w:spacing w:before="360" w:after="160"/>
      </w:pPr>
      <w:r>
        <w:rPr>
          <w:b/>
          <w:bCs/>
          <w:color w:val="0969DA"/>
          <w:sz w:val="30"/>
          <w:szCs w:val="30"/>
        </w:rPr>
        <w:t>7  Auflösung: Ein konditionaler Widerspruch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B7283D" w14:paraId="4C1C46AD" w14:textId="77777777">
        <w:tblPrEx>
          <w:tblCellMar>
            <w:top w:w="0" w:type="dxa"/>
            <w:bottom w:w="0" w:type="dxa"/>
          </w:tblCellMar>
        </w:tblPrEx>
        <w:tc>
          <w:tcPr>
            <w:tcW w:w="9026" w:type="dxa"/>
            <w:tcBorders>
              <w:top w:val="none" w:sz="0" w:space="0" w:color="FFFFFF"/>
              <w:left w:val="single" w:sz="24" w:space="0" w:color="9A6700"/>
              <w:bottom w:val="none" w:sz="0" w:space="0" w:color="FFFFFF"/>
              <w:right w:val="none" w:sz="0" w:space="0" w:color="FFFFFF"/>
            </w:tcBorders>
            <w:shd w:val="clear" w:color="auto" w:fill="FFF8C5"/>
            <w:tcMar>
              <w:top w:w="160" w:type="dxa"/>
              <w:left w:w="240" w:type="dxa"/>
              <w:bottom w:w="160" w:type="dxa"/>
              <w:right w:w="240" w:type="dxa"/>
            </w:tcMar>
          </w:tcPr>
          <w:p w14:paraId="76FB314A" w14:textId="77777777" w:rsidR="00B7283D" w:rsidRDefault="00000000">
            <w:pPr>
              <w:spacing w:after="80"/>
            </w:pPr>
            <w:r>
              <w:rPr>
                <w:b/>
                <w:bCs/>
                <w:color w:val="9A6700"/>
              </w:rPr>
              <w:t>Der Widerspruch tritt genau dann ein, wenn drei Annahmen zusammenkommen</w:t>
            </w:r>
          </w:p>
          <w:p w14:paraId="1D9EE2E4" w14:textId="77777777" w:rsidR="00B7283D" w:rsidRDefault="00000000">
            <w:pPr>
              <w:spacing w:after="80" w:line="276" w:lineRule="auto"/>
            </w:pPr>
            <w:r>
              <w:rPr>
                <w:b/>
                <w:bCs/>
              </w:rPr>
              <w:t xml:space="preserve">Annahme 1: </w:t>
            </w:r>
            <w:r>
              <w:t>Prozesskompetenzen seien domänenübergreifend. (Empirisch weitgehend widerlegt – Transferforschung.)</w:t>
            </w:r>
          </w:p>
          <w:p w14:paraId="7372F3CE" w14:textId="77777777" w:rsidR="00B7283D" w:rsidRDefault="00000000">
            <w:pPr>
              <w:spacing w:after="80" w:line="276" w:lineRule="auto"/>
            </w:pPr>
            <w:r>
              <w:rPr>
                <w:b/>
                <w:bCs/>
              </w:rPr>
              <w:t xml:space="preserve">Annahme 2: </w:t>
            </w:r>
            <w:r>
              <w:t>Sie seien direkt und inhaltsarm übbar. (Widerlegt – kritisches Denken wirkt nur eingebettet in Fachinhalt.)</w:t>
            </w:r>
          </w:p>
          <w:p w14:paraId="1C0021C5" w14:textId="77777777" w:rsidR="00B7283D" w:rsidRDefault="00000000">
            <w:pPr>
              <w:spacing w:line="276" w:lineRule="auto"/>
            </w:pPr>
            <w:r>
              <w:rPr>
                <w:b/>
                <w:bCs/>
              </w:rPr>
              <w:t xml:space="preserve">Annahme 3: </w:t>
            </w:r>
            <w:r>
              <w:t>Die dafür nötige Zeit könne legitim aus Übung und Automatisierung entnommen werden. (Der kognitionspsychologische Kardinalfehler: Sie entzieht den Zielkompetenzen ihr eigenes Fundament.)</w:t>
            </w:r>
          </w:p>
        </w:tc>
      </w:tr>
    </w:tbl>
    <w:p w14:paraId="73D038F4" w14:textId="77777777" w:rsidR="00B7283D" w:rsidRDefault="00B7283D">
      <w:pPr>
        <w:spacing w:after="120"/>
      </w:pPr>
    </w:p>
    <w:p w14:paraId="1625EE3E" w14:textId="77777777" w:rsidR="00B7283D" w:rsidRDefault="00000000">
      <w:pPr>
        <w:spacing w:after="160" w:line="288" w:lineRule="auto"/>
      </w:pPr>
      <w:r>
        <w:t xml:space="preserve">Korrekt gelesen sind prozessbezogene Kompetenzen kein Lerngegenstand, sondern ein </w:t>
      </w:r>
      <w:r>
        <w:rPr>
          <w:b/>
          <w:bCs/>
        </w:rPr>
        <w:t>Erscheinungsbild von Expertise</w:t>
      </w:r>
      <w:r>
        <w:t xml:space="preserve">: Sie beschreiben, wie automatisiertes, gut organisiertes Fachwissen sich äußert – im Strukturieren, Argumentieren, Urteilen. Die didaktische Konsequenz ist eine Sequenzierungs-, keine Entweder-oder-Frage: Instruktionsgrad und Offenheit müssen dem Expertisegrad </w:t>
      </w:r>
      <w:r>
        <w:lastRenderedPageBreak/>
        <w:t>folgen. Übung ist nicht der Gegner der Kompetenz, sondern ihre Vorleistung – und Kompetenzformate sind nicht der Gegner der Übung, sondern ihre Ernte.</w:t>
      </w:r>
    </w:p>
    <w:p w14:paraId="48316EE7" w14:textId="77777777" w:rsidR="00B7283D" w:rsidRDefault="00000000">
      <w:pPr>
        <w:pStyle w:val="Heading1"/>
        <w:spacing w:before="360" w:after="160"/>
      </w:pPr>
      <w:r>
        <w:rPr>
          <w:b/>
          <w:bCs/>
          <w:color w:val="0969DA"/>
          <w:sz w:val="30"/>
          <w:szCs w:val="30"/>
        </w:rPr>
        <w:t>8  Die Parallele zur KI-Debatte: Derselbe Fehler auf zwei Ebenen</w:t>
      </w:r>
    </w:p>
    <w:p w14:paraId="2B787E78" w14:textId="77777777" w:rsidR="00B7283D" w:rsidRDefault="00000000">
      <w:pPr>
        <w:spacing w:after="160" w:line="288" w:lineRule="auto"/>
      </w:pPr>
      <w:r>
        <w:t>Kompetenzorientierte Übungsreduktion und früher KI-Einsatz im Lernprozess sind strukturell derselbe Fehler: Beide entnehmen dem Lernprozess die Automatisierungsphase – die eine per Curriculum, die andere per Werkzeug. Treffen beide zusammen, wirken sie multiplikativ: Der Lehrplan reduziert die Übung, die KI übernimmt den Rest. Das Ergebnis ist Never-Skilling im Quadrat.</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1800"/>
        <w:gridCol w:w="3613"/>
        <w:gridCol w:w="3613"/>
      </w:tblGrid>
      <w:tr w:rsidR="00B7283D" w14:paraId="212A935E" w14:textId="77777777">
        <w:tblPrEx>
          <w:tblCellMar>
            <w:top w:w="0" w:type="dxa"/>
            <w:bottom w:w="0" w:type="dxa"/>
          </w:tblCellMar>
        </w:tblPrEx>
        <w:trPr>
          <w:tblHeader/>
        </w:trPr>
        <w:tc>
          <w:tcPr>
            <w:tcW w:w="1800" w:type="dxa"/>
            <w:shd w:val="clear" w:color="auto" w:fill="0969DA"/>
            <w:tcMar>
              <w:top w:w="100" w:type="dxa"/>
              <w:left w:w="140" w:type="dxa"/>
              <w:bottom w:w="100" w:type="dxa"/>
              <w:right w:w="140" w:type="dxa"/>
            </w:tcMar>
          </w:tcPr>
          <w:p w14:paraId="4898804F" w14:textId="77777777" w:rsidR="00B7283D" w:rsidRDefault="00000000">
            <w:pPr>
              <w:spacing w:line="264" w:lineRule="auto"/>
            </w:pPr>
            <w:r>
              <w:rPr>
                <w:b/>
                <w:bCs/>
                <w:color w:val="FFFFFF"/>
                <w:sz w:val="20"/>
                <w:szCs w:val="20"/>
              </w:rPr>
              <w:t>Aspekt</w:t>
            </w:r>
          </w:p>
        </w:tc>
        <w:tc>
          <w:tcPr>
            <w:tcW w:w="3613" w:type="dxa"/>
            <w:shd w:val="clear" w:color="auto" w:fill="0969DA"/>
            <w:tcMar>
              <w:top w:w="100" w:type="dxa"/>
              <w:left w:w="140" w:type="dxa"/>
              <w:bottom w:w="100" w:type="dxa"/>
              <w:right w:w="140" w:type="dxa"/>
            </w:tcMar>
          </w:tcPr>
          <w:p w14:paraId="1D7F31D1" w14:textId="77777777" w:rsidR="00B7283D" w:rsidRDefault="00000000">
            <w:pPr>
              <w:spacing w:line="264" w:lineRule="auto"/>
            </w:pPr>
            <w:r>
              <w:rPr>
                <w:b/>
                <w:bCs/>
                <w:color w:val="FFFFFF"/>
                <w:sz w:val="20"/>
                <w:szCs w:val="20"/>
              </w:rPr>
              <w:t>Kompetenzorientierung (Reformpraxis)</w:t>
            </w:r>
          </w:p>
        </w:tc>
        <w:tc>
          <w:tcPr>
            <w:tcW w:w="3613" w:type="dxa"/>
            <w:shd w:val="clear" w:color="auto" w:fill="0969DA"/>
            <w:tcMar>
              <w:top w:w="100" w:type="dxa"/>
              <w:left w:w="140" w:type="dxa"/>
              <w:bottom w:w="100" w:type="dxa"/>
              <w:right w:w="140" w:type="dxa"/>
            </w:tcMar>
          </w:tcPr>
          <w:p w14:paraId="33A6CD9B" w14:textId="77777777" w:rsidR="00B7283D" w:rsidRDefault="00000000">
            <w:pPr>
              <w:spacing w:line="264" w:lineRule="auto"/>
            </w:pPr>
            <w:r>
              <w:rPr>
                <w:b/>
                <w:bCs/>
                <w:color w:val="FFFFFF"/>
                <w:sz w:val="20"/>
                <w:szCs w:val="20"/>
              </w:rPr>
              <w:t>Früher KI-Einsatz</w:t>
            </w:r>
          </w:p>
        </w:tc>
      </w:tr>
      <w:tr w:rsidR="00B7283D" w14:paraId="40C1A859" w14:textId="77777777">
        <w:tblPrEx>
          <w:tblCellMar>
            <w:top w:w="0" w:type="dxa"/>
            <w:bottom w:w="0" w:type="dxa"/>
          </w:tblCellMar>
        </w:tblPrEx>
        <w:tc>
          <w:tcPr>
            <w:tcW w:w="1800" w:type="dxa"/>
            <w:tcMar>
              <w:top w:w="100" w:type="dxa"/>
              <w:left w:w="140" w:type="dxa"/>
              <w:bottom w:w="100" w:type="dxa"/>
              <w:right w:w="140" w:type="dxa"/>
            </w:tcMar>
          </w:tcPr>
          <w:p w14:paraId="796451BD" w14:textId="77777777" w:rsidR="00B7283D" w:rsidRDefault="00000000">
            <w:pPr>
              <w:spacing w:line="264" w:lineRule="auto"/>
            </w:pPr>
            <w:r>
              <w:rPr>
                <w:b/>
                <w:bCs/>
                <w:sz w:val="20"/>
                <w:szCs w:val="20"/>
              </w:rPr>
              <w:t>Entzogene Phase</w:t>
            </w:r>
          </w:p>
        </w:tc>
        <w:tc>
          <w:tcPr>
            <w:tcW w:w="3613" w:type="dxa"/>
            <w:tcMar>
              <w:top w:w="100" w:type="dxa"/>
              <w:left w:w="140" w:type="dxa"/>
              <w:bottom w:w="100" w:type="dxa"/>
              <w:right w:w="140" w:type="dxa"/>
            </w:tcMar>
          </w:tcPr>
          <w:p w14:paraId="18A0C2A3" w14:textId="77777777" w:rsidR="00B7283D" w:rsidRDefault="00000000">
            <w:pPr>
              <w:spacing w:line="264" w:lineRule="auto"/>
            </w:pPr>
            <w:r>
              <w:rPr>
                <w:sz w:val="20"/>
                <w:szCs w:val="20"/>
              </w:rPr>
              <w:t>Übung, Memorierung, Automatisierung – entzogen per Curriculum.</w:t>
            </w:r>
          </w:p>
        </w:tc>
        <w:tc>
          <w:tcPr>
            <w:tcW w:w="3613" w:type="dxa"/>
            <w:tcMar>
              <w:top w:w="100" w:type="dxa"/>
              <w:left w:w="140" w:type="dxa"/>
              <w:bottom w:w="100" w:type="dxa"/>
              <w:right w:w="140" w:type="dxa"/>
            </w:tcMar>
          </w:tcPr>
          <w:p w14:paraId="6A57AE2B" w14:textId="77777777" w:rsidR="00B7283D" w:rsidRDefault="00000000">
            <w:pPr>
              <w:spacing w:line="264" w:lineRule="auto"/>
            </w:pPr>
            <w:r>
              <w:rPr>
                <w:sz w:val="20"/>
                <w:szCs w:val="20"/>
              </w:rPr>
              <w:t>Übung und Eigenproduktion – entzogen per Werkzeug.</w:t>
            </w:r>
          </w:p>
        </w:tc>
      </w:tr>
      <w:tr w:rsidR="00B7283D" w14:paraId="433A1A8B" w14:textId="77777777">
        <w:tblPrEx>
          <w:tblCellMar>
            <w:top w:w="0" w:type="dxa"/>
            <w:bottom w:w="0" w:type="dxa"/>
          </w:tblCellMar>
        </w:tblPrEx>
        <w:tc>
          <w:tcPr>
            <w:tcW w:w="1800" w:type="dxa"/>
            <w:shd w:val="clear" w:color="auto" w:fill="F6F8FA"/>
            <w:tcMar>
              <w:top w:w="100" w:type="dxa"/>
              <w:left w:w="140" w:type="dxa"/>
              <w:bottom w:w="100" w:type="dxa"/>
              <w:right w:w="140" w:type="dxa"/>
            </w:tcMar>
          </w:tcPr>
          <w:p w14:paraId="60643A6B" w14:textId="77777777" w:rsidR="00B7283D" w:rsidRDefault="00000000">
            <w:pPr>
              <w:spacing w:line="264" w:lineRule="auto"/>
            </w:pPr>
            <w:r>
              <w:rPr>
                <w:b/>
                <w:bCs/>
                <w:sz w:val="20"/>
                <w:szCs w:val="20"/>
              </w:rPr>
              <w:t>Mechanismus</w:t>
            </w:r>
          </w:p>
        </w:tc>
        <w:tc>
          <w:tcPr>
            <w:tcW w:w="3613" w:type="dxa"/>
            <w:shd w:val="clear" w:color="auto" w:fill="F6F8FA"/>
            <w:tcMar>
              <w:top w:w="100" w:type="dxa"/>
              <w:left w:w="140" w:type="dxa"/>
              <w:bottom w:w="100" w:type="dxa"/>
              <w:right w:w="140" w:type="dxa"/>
            </w:tcMar>
          </w:tcPr>
          <w:p w14:paraId="0021FDC8" w14:textId="77777777" w:rsidR="00B7283D" w:rsidRDefault="00000000">
            <w:pPr>
              <w:spacing w:line="264" w:lineRule="auto"/>
            </w:pPr>
            <w:r>
              <w:rPr>
                <w:sz w:val="20"/>
                <w:szCs w:val="20"/>
              </w:rPr>
              <w:t>Zielhandlung des Experten wird zur Lernhandlung des Novizen.</w:t>
            </w:r>
          </w:p>
        </w:tc>
        <w:tc>
          <w:tcPr>
            <w:tcW w:w="3613" w:type="dxa"/>
            <w:shd w:val="clear" w:color="auto" w:fill="F6F8FA"/>
            <w:tcMar>
              <w:top w:w="100" w:type="dxa"/>
              <w:left w:w="140" w:type="dxa"/>
              <w:bottom w:w="100" w:type="dxa"/>
              <w:right w:w="140" w:type="dxa"/>
            </w:tcMar>
          </w:tcPr>
          <w:p w14:paraId="33118C24" w14:textId="77777777" w:rsidR="00B7283D" w:rsidRDefault="00000000">
            <w:pPr>
              <w:spacing w:line="264" w:lineRule="auto"/>
            </w:pPr>
            <w:r>
              <w:rPr>
                <w:sz w:val="20"/>
                <w:szCs w:val="20"/>
              </w:rPr>
              <w:t>Werkzeug des Experten wird zum Lernwerkzeug des Novizen.</w:t>
            </w:r>
          </w:p>
        </w:tc>
      </w:tr>
      <w:tr w:rsidR="00B7283D" w14:paraId="1690C7A4" w14:textId="77777777">
        <w:tblPrEx>
          <w:tblCellMar>
            <w:top w:w="0" w:type="dxa"/>
            <w:bottom w:w="0" w:type="dxa"/>
          </w:tblCellMar>
        </w:tblPrEx>
        <w:tc>
          <w:tcPr>
            <w:tcW w:w="1800" w:type="dxa"/>
            <w:tcMar>
              <w:top w:w="100" w:type="dxa"/>
              <w:left w:w="140" w:type="dxa"/>
              <w:bottom w:w="100" w:type="dxa"/>
              <w:right w:w="140" w:type="dxa"/>
            </w:tcMar>
          </w:tcPr>
          <w:p w14:paraId="27192A14" w14:textId="77777777" w:rsidR="00B7283D" w:rsidRDefault="00000000">
            <w:pPr>
              <w:spacing w:line="264" w:lineRule="auto"/>
            </w:pPr>
            <w:r>
              <w:rPr>
                <w:b/>
                <w:bCs/>
                <w:sz w:val="20"/>
                <w:szCs w:val="20"/>
              </w:rPr>
              <w:t>Kognitive Folge</w:t>
            </w:r>
          </w:p>
        </w:tc>
        <w:tc>
          <w:tcPr>
            <w:tcW w:w="3613" w:type="dxa"/>
            <w:tcMar>
              <w:top w:w="100" w:type="dxa"/>
              <w:left w:w="140" w:type="dxa"/>
              <w:bottom w:w="100" w:type="dxa"/>
              <w:right w:w="140" w:type="dxa"/>
            </w:tcMar>
          </w:tcPr>
          <w:p w14:paraId="0B70041B" w14:textId="77777777" w:rsidR="00B7283D" w:rsidRDefault="00000000">
            <w:pPr>
              <w:spacing w:line="264" w:lineRule="auto"/>
            </w:pPr>
            <w:r>
              <w:rPr>
                <w:sz w:val="20"/>
                <w:szCs w:val="20"/>
              </w:rPr>
              <w:t>Schemata werden nicht gebildet; das Arbeitsgedächtnis bleibt Flaschenhals.</w:t>
            </w:r>
          </w:p>
        </w:tc>
        <w:tc>
          <w:tcPr>
            <w:tcW w:w="3613" w:type="dxa"/>
            <w:tcMar>
              <w:top w:w="100" w:type="dxa"/>
              <w:left w:w="140" w:type="dxa"/>
              <w:bottom w:w="100" w:type="dxa"/>
              <w:right w:w="140" w:type="dxa"/>
            </w:tcMar>
          </w:tcPr>
          <w:p w14:paraId="635A342F" w14:textId="77777777" w:rsidR="00B7283D" w:rsidRDefault="00000000">
            <w:pPr>
              <w:spacing w:line="264" w:lineRule="auto"/>
            </w:pPr>
            <w:r>
              <w:rPr>
                <w:sz w:val="20"/>
                <w:szCs w:val="20"/>
              </w:rPr>
              <w:t>Never-Skilling: Expertise wird gar nicht erst aufgebaut.</w:t>
            </w:r>
          </w:p>
        </w:tc>
      </w:tr>
      <w:tr w:rsidR="00B7283D" w14:paraId="5EF02E76" w14:textId="77777777">
        <w:tblPrEx>
          <w:tblCellMar>
            <w:top w:w="0" w:type="dxa"/>
            <w:bottom w:w="0" w:type="dxa"/>
          </w:tblCellMar>
        </w:tblPrEx>
        <w:tc>
          <w:tcPr>
            <w:tcW w:w="1800" w:type="dxa"/>
            <w:shd w:val="clear" w:color="auto" w:fill="F6F8FA"/>
            <w:tcMar>
              <w:top w:w="100" w:type="dxa"/>
              <w:left w:w="140" w:type="dxa"/>
              <w:bottom w:w="100" w:type="dxa"/>
              <w:right w:w="140" w:type="dxa"/>
            </w:tcMar>
          </w:tcPr>
          <w:p w14:paraId="4B47ACE1" w14:textId="77777777" w:rsidR="00B7283D" w:rsidRDefault="00000000">
            <w:pPr>
              <w:spacing w:line="264" w:lineRule="auto"/>
            </w:pPr>
            <w:r>
              <w:rPr>
                <w:b/>
                <w:bCs/>
                <w:sz w:val="20"/>
                <w:szCs w:val="20"/>
              </w:rPr>
              <w:t>Sichtbares Symptom</w:t>
            </w:r>
          </w:p>
        </w:tc>
        <w:tc>
          <w:tcPr>
            <w:tcW w:w="3613" w:type="dxa"/>
            <w:shd w:val="clear" w:color="auto" w:fill="F6F8FA"/>
            <w:tcMar>
              <w:top w:w="100" w:type="dxa"/>
              <w:left w:w="140" w:type="dxa"/>
              <w:bottom w:w="100" w:type="dxa"/>
              <w:right w:w="140" w:type="dxa"/>
            </w:tcMar>
          </w:tcPr>
          <w:p w14:paraId="17C00676" w14:textId="77777777" w:rsidR="00B7283D" w:rsidRDefault="00000000">
            <w:pPr>
              <w:spacing w:line="264" w:lineRule="auto"/>
            </w:pPr>
            <w:r>
              <w:rPr>
                <w:sz w:val="20"/>
                <w:szCs w:val="20"/>
              </w:rPr>
              <w:t>Simulation höherer Prozesse: Diskursrituale ohne Durchdringung.</w:t>
            </w:r>
          </w:p>
        </w:tc>
        <w:tc>
          <w:tcPr>
            <w:tcW w:w="3613" w:type="dxa"/>
            <w:shd w:val="clear" w:color="auto" w:fill="F6F8FA"/>
            <w:tcMar>
              <w:top w:w="100" w:type="dxa"/>
              <w:left w:w="140" w:type="dxa"/>
              <w:bottom w:w="100" w:type="dxa"/>
              <w:right w:w="140" w:type="dxa"/>
            </w:tcMar>
          </w:tcPr>
          <w:p w14:paraId="3CC4A4B9" w14:textId="77777777" w:rsidR="00B7283D" w:rsidRDefault="00000000">
            <w:pPr>
              <w:spacing w:line="264" w:lineRule="auto"/>
            </w:pPr>
            <w:r>
              <w:rPr>
                <w:sz w:val="20"/>
                <w:szCs w:val="20"/>
              </w:rPr>
              <w:t>Illusion of Competence: Verstehen wird mit Beherrschen verwechselt.</w:t>
            </w:r>
          </w:p>
        </w:tc>
      </w:tr>
      <w:tr w:rsidR="00B7283D" w14:paraId="59CD4D06" w14:textId="77777777">
        <w:tblPrEx>
          <w:tblCellMar>
            <w:top w:w="0" w:type="dxa"/>
            <w:bottom w:w="0" w:type="dxa"/>
          </w:tblCellMar>
        </w:tblPrEx>
        <w:tc>
          <w:tcPr>
            <w:tcW w:w="1800" w:type="dxa"/>
            <w:tcMar>
              <w:top w:w="100" w:type="dxa"/>
              <w:left w:w="140" w:type="dxa"/>
              <w:bottom w:w="100" w:type="dxa"/>
              <w:right w:w="140" w:type="dxa"/>
            </w:tcMar>
          </w:tcPr>
          <w:p w14:paraId="3F335C3A" w14:textId="77777777" w:rsidR="00B7283D" w:rsidRDefault="00000000">
            <w:pPr>
              <w:spacing w:line="264" w:lineRule="auto"/>
            </w:pPr>
            <w:r>
              <w:rPr>
                <w:b/>
                <w:bCs/>
                <w:sz w:val="20"/>
                <w:szCs w:val="20"/>
              </w:rPr>
              <w:t>Gegenmittel</w:t>
            </w:r>
          </w:p>
        </w:tc>
        <w:tc>
          <w:tcPr>
            <w:tcW w:w="3613" w:type="dxa"/>
            <w:tcMar>
              <w:top w:w="100" w:type="dxa"/>
              <w:left w:w="140" w:type="dxa"/>
              <w:bottom w:w="100" w:type="dxa"/>
              <w:right w:w="140" w:type="dxa"/>
            </w:tcMar>
          </w:tcPr>
          <w:p w14:paraId="30660479" w14:textId="77777777" w:rsidR="00B7283D" w:rsidRDefault="00000000">
            <w:pPr>
              <w:spacing w:line="264" w:lineRule="auto"/>
            </w:pPr>
            <w:r>
              <w:rPr>
                <w:sz w:val="20"/>
                <w:szCs w:val="20"/>
              </w:rPr>
              <w:t>Sequenzierung: Instruktion und Übung vor Offenheit; Formate an Fachinhalt binden.</w:t>
            </w:r>
          </w:p>
        </w:tc>
        <w:tc>
          <w:tcPr>
            <w:tcW w:w="3613" w:type="dxa"/>
            <w:tcMar>
              <w:top w:w="100" w:type="dxa"/>
              <w:left w:w="140" w:type="dxa"/>
              <w:bottom w:w="100" w:type="dxa"/>
              <w:right w:w="140" w:type="dxa"/>
            </w:tcMar>
          </w:tcPr>
          <w:p w14:paraId="54C662E8" w14:textId="77777777" w:rsidR="00B7283D" w:rsidRDefault="00000000">
            <w:pPr>
              <w:spacing w:line="264" w:lineRule="auto"/>
            </w:pPr>
            <w:r>
              <w:rPr>
                <w:sz w:val="20"/>
                <w:szCs w:val="20"/>
              </w:rPr>
              <w:t>KI-freie Fundamentphasen plus kontinuierliche manuelle Praxis (Recurrency).</w:t>
            </w:r>
          </w:p>
        </w:tc>
      </w:tr>
    </w:tbl>
    <w:p w14:paraId="3410CADA" w14:textId="77777777" w:rsidR="00B7283D" w:rsidRDefault="00B7283D">
      <w:pPr>
        <w:spacing w:after="12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B7283D" w14:paraId="371E50F6" w14:textId="77777777">
        <w:tblPrEx>
          <w:tblCellMar>
            <w:top w:w="0" w:type="dxa"/>
            <w:bottom w:w="0" w:type="dxa"/>
          </w:tblCellMar>
        </w:tblPrEx>
        <w:tc>
          <w:tcPr>
            <w:tcW w:w="9026" w:type="dxa"/>
            <w:tcBorders>
              <w:top w:val="none" w:sz="0" w:space="0" w:color="FFFFFF"/>
              <w:left w:val="single" w:sz="24" w:space="0" w:color="1A7F37"/>
              <w:bottom w:val="none" w:sz="0" w:space="0" w:color="FFFFFF"/>
              <w:right w:val="none" w:sz="0" w:space="0" w:color="FFFFFF"/>
            </w:tcBorders>
            <w:shd w:val="clear" w:color="auto" w:fill="DAFBE1"/>
            <w:tcMar>
              <w:top w:w="160" w:type="dxa"/>
              <w:left w:w="240" w:type="dxa"/>
              <w:bottom w:w="160" w:type="dxa"/>
              <w:right w:w="240" w:type="dxa"/>
            </w:tcMar>
          </w:tcPr>
          <w:p w14:paraId="0342E7B6" w14:textId="77777777" w:rsidR="00B7283D" w:rsidRDefault="00000000">
            <w:pPr>
              <w:spacing w:after="80"/>
            </w:pPr>
            <w:r>
              <w:rPr>
                <w:b/>
                <w:bCs/>
                <w:color w:val="1A7F37"/>
              </w:rPr>
              <w:t>Empfehlung an die Fachschaft</w:t>
            </w:r>
          </w:p>
          <w:p w14:paraId="38BFF4C7" w14:textId="77777777" w:rsidR="00B7283D" w:rsidRDefault="00000000">
            <w:pPr>
              <w:spacing w:line="276" w:lineRule="auto"/>
            </w:pPr>
            <w:r>
              <w:t>Kompetenzorientierung als Zielbeschreibung beibehalten, als Methodenverbot für Übung zurückweisen. Konkret: (1) Übungs- und Automatisierungsphasen explizit im Schulcurriculum ausweisen und gegen Kürzung verteidigen – sie sind die Vorleistung der Kompetenzen, nicht ihr Gegner. (2) Kompetenzformate (Argumentieren, Beurteilen, Präsentieren) erst auf gesichertem Fundament einsetzen und stets an reichhaltigen Fachinhalt binden – nie als generische Methodenbausteine. (3) Den Instruktionsgrad dynamisch am Expertisegrad ausrichten (Expertise Reversal beachten): viel Führung für Novizen, wachsende Offenheit für Fortgeschrittene. (4) Die Wechselwirkung mit KI-Regeln mitdenken: Wo der Lehrplan bereits Übung reduziert hat, wiegt früher KI-Einsatz doppelt.</w:t>
            </w:r>
          </w:p>
        </w:tc>
      </w:tr>
    </w:tbl>
    <w:p w14:paraId="2114AF9B" w14:textId="77777777" w:rsidR="00B7283D" w:rsidRDefault="00B7283D">
      <w:pPr>
        <w:spacing w:after="120"/>
      </w:pPr>
    </w:p>
    <w:p w14:paraId="31A196AA" w14:textId="77777777" w:rsidR="00B7283D" w:rsidRDefault="00000000">
      <w:pPr>
        <w:pStyle w:val="Heading1"/>
        <w:spacing w:before="360" w:after="160"/>
      </w:pPr>
      <w:r>
        <w:rPr>
          <w:b/>
          <w:bCs/>
          <w:color w:val="0969DA"/>
          <w:sz w:val="30"/>
          <w:szCs w:val="30"/>
        </w:rPr>
        <w:t>9  Empirische Einordnung – und gebotene Vorsicht</w:t>
      </w:r>
    </w:p>
    <w:p w14:paraId="1F1DCAEE" w14:textId="77777777" w:rsidR="00B7283D" w:rsidRDefault="00000000">
      <w:pPr>
        <w:spacing w:after="160" w:line="288" w:lineRule="auto"/>
      </w:pPr>
      <w:r>
        <w:t>Die deutschen Leistungsdaten (IQB-Bildungstrends, TIMSS) zeigen seit Jahren Rückgänge in den Basiskompetenzen; der offene Brief von über 130 Mathematik-Professorinnen und -Professoren (2017) machte dafür explizit die Kompetenzorientierung und die Vernachlässigung des Übens verantwortlich. Das ist ein starkes Indiz – aber die Entwicklung ist multikausal überlagert: zunehmende Heterogenität, Lehrkräftemangel, Pandemiefolgen, veränderte Mediennutzung.</w:t>
      </w:r>
    </w:p>
    <w:p w14:paraId="54FED7C3" w14:textId="77777777" w:rsidR="00B7283D" w:rsidRDefault="00000000">
      <w:pPr>
        <w:spacing w:after="160" w:line="288" w:lineRule="auto"/>
      </w:pPr>
      <w:r>
        <w:t xml:space="preserve">Für die Fachdiskussion heißt das: Die </w:t>
      </w:r>
      <w:r>
        <w:rPr>
          <w:b/>
          <w:bCs/>
        </w:rPr>
        <w:t>kognitionspsychologische Theorie ist solide</w:t>
      </w:r>
      <w:r>
        <w:t xml:space="preserve"> (Arbeitsgedächtnis, Schemabildung, Expertise- und Transferforschung sind vielfach repliziert). Der </w:t>
      </w:r>
      <w:r>
        <w:rPr>
          <w:b/>
          <w:bCs/>
        </w:rPr>
        <w:t xml:space="preserve">empirische Nachweis, </w:t>
      </w:r>
      <w:r>
        <w:rPr>
          <w:b/>
          <w:bCs/>
        </w:rPr>
        <w:lastRenderedPageBreak/>
        <w:t>dass speziell die Curriculumreform die Leistungsrückgänge verursacht hat, ist es nicht im gleichen Maße.</w:t>
      </w:r>
      <w:r>
        <w:t xml:space="preserve"> Wer beide Aussagen sauber trennt, argumentiert unangreifbar; wer sie vermischt, liefert der Gegenseite den Hebel, mit der Kausalitätskritik auch die solide Theorie zu entsorgen.</w:t>
      </w:r>
    </w:p>
    <w:p w14:paraId="4FA842BC" w14:textId="77777777" w:rsidR="00B7283D" w:rsidRDefault="00000000">
      <w:pPr>
        <w:pStyle w:val="Heading1"/>
        <w:spacing w:before="360" w:after="160"/>
      </w:pPr>
      <w:r>
        <w:rPr>
          <w:b/>
          <w:bCs/>
          <w:color w:val="0969DA"/>
          <w:sz w:val="30"/>
          <w:szCs w:val="30"/>
        </w:rPr>
        <w:t>10  Offene Fragen für die Fachdiskussion</w:t>
      </w:r>
    </w:p>
    <w:p w14:paraId="0514F98C" w14:textId="77777777" w:rsidR="00B7283D" w:rsidRDefault="00000000">
      <w:pPr>
        <w:pStyle w:val="ListParagraph"/>
        <w:numPr>
          <w:ilvl w:val="0"/>
          <w:numId w:val="2"/>
        </w:numPr>
        <w:spacing w:after="120" w:line="288" w:lineRule="auto"/>
      </w:pPr>
      <w:r>
        <w:t>Welche Fertigkeiten in unserem Fach müssen automatisiert sein (konkrete Liste!), und woran messen wir Automatisierung – an Tempo und Mühelosigkeit statt an bloßer Richtigkeit?</w:t>
      </w:r>
    </w:p>
    <w:p w14:paraId="10B61BC5" w14:textId="77777777" w:rsidR="00B7283D" w:rsidRDefault="00000000">
      <w:pPr>
        <w:pStyle w:val="ListParagraph"/>
        <w:numPr>
          <w:ilvl w:val="0"/>
          <w:numId w:val="2"/>
        </w:numPr>
        <w:spacing w:after="120" w:line="288" w:lineRule="auto"/>
      </w:pPr>
      <w:r>
        <w:t>Wo in unseren Curricula und Stoffverteilungsplänen ist Übungszeit zugunsten von Kompetenzformaten entfallen – und was davon holen wir gezielt zurück?</w:t>
      </w:r>
    </w:p>
    <w:p w14:paraId="355418FA" w14:textId="77777777" w:rsidR="00B7283D" w:rsidRDefault="00000000">
      <w:pPr>
        <w:pStyle w:val="ListParagraph"/>
        <w:numPr>
          <w:ilvl w:val="0"/>
          <w:numId w:val="2"/>
        </w:numPr>
        <w:spacing w:after="120" w:line="288" w:lineRule="auto"/>
      </w:pPr>
      <w:r>
        <w:t>Nach welchen Kriterien (nicht: nach welcher Kalenderwoche) wechseln wir von geführter Instruktion zu offenen, urteilenden Formaten?</w:t>
      </w:r>
    </w:p>
    <w:p w14:paraId="764F0270" w14:textId="77777777" w:rsidR="00B7283D" w:rsidRDefault="00000000">
      <w:pPr>
        <w:pStyle w:val="ListParagraph"/>
        <w:numPr>
          <w:ilvl w:val="0"/>
          <w:numId w:val="2"/>
        </w:numPr>
        <w:spacing w:after="120" w:line="288" w:lineRule="auto"/>
      </w:pPr>
      <w:r>
        <w:t>Wie binden wir Kompetenzformate verbindlich an reichhaltigen Fachinhalt, statt sie als generische Methodenbausteine zu unterrichten?</w:t>
      </w:r>
    </w:p>
    <w:p w14:paraId="501D77CD" w14:textId="77777777" w:rsidR="00B7283D" w:rsidRDefault="00000000">
      <w:pPr>
        <w:pStyle w:val="ListParagraph"/>
        <w:numPr>
          <w:ilvl w:val="0"/>
          <w:numId w:val="2"/>
        </w:numPr>
        <w:spacing w:after="120" w:line="288" w:lineRule="auto"/>
      </w:pPr>
      <w:r>
        <w:t>Wie kommunizieren wir gegenüber Lernenden, Eltern und Schulleitung, dass Üben und Memorieren kein didaktischer Rückschritt ist, sondern die Vorleistung der geforderten Kompetenzen?</w:t>
      </w:r>
    </w:p>
    <w:p w14:paraId="1589C9B8" w14:textId="77777777" w:rsidR="00B7283D" w:rsidRDefault="00000000">
      <w:pPr>
        <w:pStyle w:val="ListParagraph"/>
        <w:numPr>
          <w:ilvl w:val="0"/>
          <w:numId w:val="2"/>
        </w:numPr>
        <w:spacing w:after="120" w:line="288" w:lineRule="auto"/>
      </w:pPr>
      <w:r>
        <w:t>Wo verschärfen sich Übungsreduktion und KI-Nutzung gegenseitig – und welche Phasen erklären wir deshalb ausdrücklich zu Übungs- und KI-Schutzräumen?</w:t>
      </w:r>
    </w:p>
    <w:p w14:paraId="620C4DF1" w14:textId="77777777" w:rsidR="00B7283D" w:rsidRDefault="00000000">
      <w:pPr>
        <w:pStyle w:val="Heading1"/>
        <w:spacing w:before="360" w:after="160"/>
      </w:pPr>
      <w:r>
        <w:rPr>
          <w:b/>
          <w:bCs/>
          <w:color w:val="0969DA"/>
          <w:sz w:val="30"/>
          <w:szCs w:val="30"/>
        </w:rPr>
        <w:t>11  Referenzierte Konzepte und Literatur</w:t>
      </w:r>
    </w:p>
    <w:p w14:paraId="0D16F5F0" w14:textId="77777777" w:rsidR="00B7283D" w:rsidRDefault="00000000">
      <w:pPr>
        <w:pStyle w:val="ListParagraph"/>
        <w:numPr>
          <w:ilvl w:val="0"/>
          <w:numId w:val="3"/>
        </w:numPr>
        <w:spacing w:after="80" w:line="276" w:lineRule="auto"/>
      </w:pPr>
      <w:r>
        <w:rPr>
          <w:sz w:val="20"/>
          <w:szCs w:val="20"/>
        </w:rPr>
        <w:t>Weinert, F. E. (2001): Leistungsmessungen in Schulen – maßgebliche Kompetenzdefinition (Outcome-Begriff inkl. Wissen und Fertigkeiten).</w:t>
      </w:r>
    </w:p>
    <w:p w14:paraId="44E5B46E" w14:textId="77777777" w:rsidR="00B7283D" w:rsidRDefault="00000000">
      <w:pPr>
        <w:pStyle w:val="ListParagraph"/>
        <w:numPr>
          <w:ilvl w:val="0"/>
          <w:numId w:val="3"/>
        </w:numPr>
        <w:spacing w:after="80" w:line="276" w:lineRule="auto"/>
      </w:pPr>
      <w:r>
        <w:rPr>
          <w:sz w:val="20"/>
          <w:szCs w:val="20"/>
        </w:rPr>
        <w:t>Klieme, E. u. a. (2003): Zur Entwicklung nationaler Bildungsstandards. Expertise, BMBF.</w:t>
      </w:r>
    </w:p>
    <w:p w14:paraId="3B47BB4D" w14:textId="77777777" w:rsidR="00B7283D" w:rsidRDefault="00000000">
      <w:pPr>
        <w:pStyle w:val="ListParagraph"/>
        <w:numPr>
          <w:ilvl w:val="0"/>
          <w:numId w:val="3"/>
        </w:numPr>
        <w:spacing w:after="80" w:line="276" w:lineRule="auto"/>
      </w:pPr>
      <w:r>
        <w:rPr>
          <w:sz w:val="20"/>
          <w:szCs w:val="20"/>
        </w:rPr>
        <w:t>de Groot, A. (1946/1965): Thought and Choice in Chess; Chase, W. G.; Simon, H. A. (1973): Perception in Chess. Cognitive Psychology 4 – Chunking und Expertise.</w:t>
      </w:r>
    </w:p>
    <w:p w14:paraId="49E93C8F" w14:textId="77777777" w:rsidR="00B7283D" w:rsidRDefault="00000000">
      <w:pPr>
        <w:pStyle w:val="ListParagraph"/>
        <w:numPr>
          <w:ilvl w:val="0"/>
          <w:numId w:val="3"/>
        </w:numPr>
        <w:spacing w:after="80" w:line="276" w:lineRule="auto"/>
      </w:pPr>
      <w:r>
        <w:rPr>
          <w:sz w:val="20"/>
          <w:szCs w:val="20"/>
        </w:rPr>
        <w:t>Recht, D. R.; Leslie, L. (1988): Effect of Prior Knowledge on Good and Poor Readers’ Memory of Text. Journal of Educational Psychology 80(1).</w:t>
      </w:r>
    </w:p>
    <w:p w14:paraId="13C50DA6" w14:textId="77777777" w:rsidR="00B7283D" w:rsidRDefault="00000000">
      <w:pPr>
        <w:pStyle w:val="ListParagraph"/>
        <w:numPr>
          <w:ilvl w:val="0"/>
          <w:numId w:val="3"/>
        </w:numPr>
        <w:spacing w:after="80" w:line="276" w:lineRule="auto"/>
      </w:pPr>
      <w:r>
        <w:rPr>
          <w:sz w:val="20"/>
          <w:szCs w:val="20"/>
        </w:rPr>
        <w:t>Sweller, J.: Cognitive Load Theory – Arbeitsgedächtnis, Schemabildung, Automatisierung.</w:t>
      </w:r>
    </w:p>
    <w:p w14:paraId="09A948AA" w14:textId="77777777" w:rsidR="00B7283D" w:rsidRDefault="00000000">
      <w:pPr>
        <w:pStyle w:val="ListParagraph"/>
        <w:numPr>
          <w:ilvl w:val="0"/>
          <w:numId w:val="3"/>
        </w:numPr>
        <w:spacing w:after="80" w:line="276" w:lineRule="auto"/>
      </w:pPr>
      <w:r>
        <w:rPr>
          <w:sz w:val="20"/>
          <w:szCs w:val="20"/>
        </w:rPr>
        <w:t>Geary, D. C. (2007): Educating the Evolved Mind – biologisch primäres vs. sekundäres Wissen.</w:t>
      </w:r>
    </w:p>
    <w:p w14:paraId="3E554D71" w14:textId="77777777" w:rsidR="00B7283D" w:rsidRDefault="00000000">
      <w:pPr>
        <w:pStyle w:val="ListParagraph"/>
        <w:numPr>
          <w:ilvl w:val="0"/>
          <w:numId w:val="3"/>
        </w:numPr>
        <w:spacing w:after="80" w:line="276" w:lineRule="auto"/>
      </w:pPr>
      <w:r>
        <w:rPr>
          <w:sz w:val="20"/>
          <w:szCs w:val="20"/>
        </w:rPr>
        <w:t>Tricot, A.; Sweller, J. (2014): Domain-Specific Knowledge and Why Teaching Generic Skills Does Not Work. Educational Psychology Review 26.</w:t>
      </w:r>
    </w:p>
    <w:p w14:paraId="6988BDEB" w14:textId="77777777" w:rsidR="00B7283D" w:rsidRDefault="00000000">
      <w:pPr>
        <w:pStyle w:val="ListParagraph"/>
        <w:numPr>
          <w:ilvl w:val="0"/>
          <w:numId w:val="3"/>
        </w:numPr>
        <w:spacing w:after="80" w:line="276" w:lineRule="auto"/>
      </w:pPr>
      <w:r>
        <w:rPr>
          <w:sz w:val="20"/>
          <w:szCs w:val="20"/>
        </w:rPr>
        <w:t>Willingham, D. T. (2007): Critical Thinking – Why Is It So Hard to Teach? American Educator.</w:t>
      </w:r>
    </w:p>
    <w:p w14:paraId="3DEAC05B" w14:textId="77777777" w:rsidR="00B7283D" w:rsidRDefault="00000000">
      <w:pPr>
        <w:pStyle w:val="ListParagraph"/>
        <w:numPr>
          <w:ilvl w:val="0"/>
          <w:numId w:val="3"/>
        </w:numPr>
        <w:spacing w:after="80" w:line="276" w:lineRule="auto"/>
      </w:pPr>
      <w:r>
        <w:rPr>
          <w:sz w:val="20"/>
          <w:szCs w:val="20"/>
        </w:rPr>
        <w:t>Sala, G.; Gobet, F. (2017): Does Far Transfer Exist? Current Directions in Psychological Science 26(6).</w:t>
      </w:r>
    </w:p>
    <w:p w14:paraId="71E230AE" w14:textId="77777777" w:rsidR="00B7283D" w:rsidRDefault="00000000">
      <w:pPr>
        <w:pStyle w:val="ListParagraph"/>
        <w:numPr>
          <w:ilvl w:val="0"/>
          <w:numId w:val="3"/>
        </w:numPr>
        <w:spacing w:after="80" w:line="276" w:lineRule="auto"/>
      </w:pPr>
      <w:r>
        <w:rPr>
          <w:sz w:val="20"/>
          <w:szCs w:val="20"/>
        </w:rPr>
        <w:t>Kirschner, P. A.; Sweller, J.; Clark, R. E. (2006): Why Minimal Guidance During Instruction Does Not Work. Educational Psychologist 41(2).</w:t>
      </w:r>
    </w:p>
    <w:p w14:paraId="0D728A4F" w14:textId="77777777" w:rsidR="00B7283D" w:rsidRDefault="00000000">
      <w:pPr>
        <w:pStyle w:val="ListParagraph"/>
        <w:numPr>
          <w:ilvl w:val="0"/>
          <w:numId w:val="3"/>
        </w:numPr>
        <w:spacing w:after="80" w:line="276" w:lineRule="auto"/>
      </w:pPr>
      <w:r>
        <w:rPr>
          <w:sz w:val="20"/>
          <w:szCs w:val="20"/>
        </w:rPr>
        <w:t>Kalyuga, S. u. a. (2003): The Expertise Reversal Effect. Educational Psychologist 38(1).</w:t>
      </w:r>
    </w:p>
    <w:p w14:paraId="7E30BF5A" w14:textId="77777777" w:rsidR="00B7283D" w:rsidRDefault="00000000">
      <w:pPr>
        <w:pStyle w:val="ListParagraph"/>
        <w:numPr>
          <w:ilvl w:val="0"/>
          <w:numId w:val="3"/>
        </w:numPr>
        <w:spacing w:after="80" w:line="276" w:lineRule="auto"/>
      </w:pPr>
      <w:r>
        <w:rPr>
          <w:sz w:val="20"/>
          <w:szCs w:val="20"/>
        </w:rPr>
        <w:t>Kapur, M. (2016): Examining Productive Failure, Productive Success, Unproductive Failure, and Unproductive Success in Learning. Educational Psychologist 51(2).</w:t>
      </w:r>
    </w:p>
    <w:p w14:paraId="2F29EAEA" w14:textId="77777777" w:rsidR="00B7283D" w:rsidRDefault="00000000">
      <w:pPr>
        <w:pStyle w:val="ListParagraph"/>
        <w:numPr>
          <w:ilvl w:val="0"/>
          <w:numId w:val="3"/>
        </w:numPr>
        <w:spacing w:after="80" w:line="276" w:lineRule="auto"/>
      </w:pPr>
      <w:r>
        <w:rPr>
          <w:sz w:val="20"/>
          <w:szCs w:val="20"/>
        </w:rPr>
        <w:t>Abrami, P. C. u. a. (2015): Strategies for Teaching Students to Think Critically – A Meta-Analysis. Review of Educational Research 85(2).</w:t>
      </w:r>
    </w:p>
    <w:p w14:paraId="7625D936" w14:textId="77777777" w:rsidR="00B7283D" w:rsidRDefault="00000000">
      <w:pPr>
        <w:pStyle w:val="ListParagraph"/>
        <w:numPr>
          <w:ilvl w:val="0"/>
          <w:numId w:val="3"/>
        </w:numPr>
        <w:spacing w:after="80" w:line="276" w:lineRule="auto"/>
      </w:pPr>
      <w:r>
        <w:rPr>
          <w:sz w:val="20"/>
          <w:szCs w:val="20"/>
        </w:rPr>
        <w:t>Renkl, A.; Mandl, H.; Gruber, H. (1996): Inert Knowledge – Analyses and Remedies. Educational Psychologist 31(2); Begriff nach Whitehead (1929).</w:t>
      </w:r>
    </w:p>
    <w:p w14:paraId="250AF464" w14:textId="77777777" w:rsidR="00B7283D" w:rsidRDefault="00000000">
      <w:pPr>
        <w:pStyle w:val="ListParagraph"/>
        <w:numPr>
          <w:ilvl w:val="0"/>
          <w:numId w:val="3"/>
        </w:numPr>
        <w:spacing w:after="80" w:line="276" w:lineRule="auto"/>
      </w:pPr>
      <w:r>
        <w:rPr>
          <w:sz w:val="20"/>
          <w:szCs w:val="20"/>
        </w:rPr>
        <w:t>IQB-Bildungstrends; TIMSS – Leistungsentwicklung in den Basiskompetenzen (Sekundäranalysen).</w:t>
      </w:r>
    </w:p>
    <w:p w14:paraId="304E58E6" w14:textId="77777777" w:rsidR="00B7283D" w:rsidRDefault="00000000">
      <w:pPr>
        <w:pStyle w:val="ListParagraph"/>
        <w:numPr>
          <w:ilvl w:val="0"/>
          <w:numId w:val="3"/>
        </w:numPr>
        <w:spacing w:after="80" w:line="276" w:lineRule="auto"/>
      </w:pPr>
      <w:r>
        <w:rPr>
          <w:sz w:val="20"/>
          <w:szCs w:val="20"/>
        </w:rPr>
        <w:t>Offener Brief „Mathematikunterricht und Kompetenzorientierung“ (2017), unterzeichnet von über 130 Professorinnen und Professoren.</w:t>
      </w:r>
    </w:p>
    <w:sectPr w:rsidR="00B7283D" w:rsidSect="00DA278E">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F17DDE" w14:textId="77777777" w:rsidR="0017243E" w:rsidRDefault="0017243E">
      <w:r>
        <w:separator/>
      </w:r>
    </w:p>
  </w:endnote>
  <w:endnote w:type="continuationSeparator" w:id="0">
    <w:p w14:paraId="4D58B930" w14:textId="77777777" w:rsidR="0017243E" w:rsidRDefault="00172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3D8BE" w14:textId="77777777" w:rsidR="00B7283D" w:rsidRDefault="00000000">
    <w:pPr>
      <w:tabs>
        <w:tab w:val="right" w:pos="9026"/>
      </w:tabs>
    </w:pPr>
    <w:r>
      <w:rPr>
        <w:color w:val="57606A"/>
        <w:sz w:val="16"/>
        <w:szCs w:val="16"/>
      </w:rPr>
      <w:t>Positionspapier · Kompetenzorientierung und Kognitionspsychologie</w:t>
    </w:r>
    <w:r>
      <w:rPr>
        <w:sz w:val="16"/>
        <w:szCs w:val="16"/>
      </w:rPr>
      <w:tab/>
    </w:r>
    <w:r>
      <w:rPr>
        <w:color w:val="57606A"/>
        <w:sz w:val="16"/>
        <w:szCs w:val="16"/>
      </w:rPr>
      <w:t xml:space="preserve">Seite </w:t>
    </w:r>
    <w:r>
      <w:rPr>
        <w:color w:val="57606A"/>
        <w:sz w:val="16"/>
        <w:szCs w:val="16"/>
      </w:rPr>
      <w:fldChar w:fldCharType="begin"/>
    </w:r>
    <w:r>
      <w:rPr>
        <w:color w:val="57606A"/>
        <w:sz w:val="16"/>
        <w:szCs w:val="16"/>
      </w:rPr>
      <w:instrText>PAGE</w:instrText>
    </w:r>
    <w:r>
      <w:rPr>
        <w:color w:val="57606A"/>
        <w:sz w:val="16"/>
        <w:szCs w:val="16"/>
      </w:rPr>
      <w:fldChar w:fldCharType="separate"/>
    </w:r>
    <w:r w:rsidR="00DA278E">
      <w:rPr>
        <w:noProof/>
        <w:color w:val="57606A"/>
        <w:sz w:val="16"/>
        <w:szCs w:val="16"/>
      </w:rPr>
      <w:t>1</w:t>
    </w:r>
    <w:r>
      <w:rPr>
        <w:color w:val="57606A"/>
        <w:sz w:val="16"/>
        <w:szCs w:val="16"/>
      </w:rPr>
      <w:fldChar w:fldCharType="end"/>
    </w:r>
    <w:r>
      <w:rPr>
        <w:color w:val="57606A"/>
        <w:sz w:val="16"/>
        <w:szCs w:val="16"/>
      </w:rPr>
      <w:t xml:space="preserve"> von </w:t>
    </w:r>
    <w:r>
      <w:rPr>
        <w:color w:val="57606A"/>
        <w:sz w:val="16"/>
        <w:szCs w:val="16"/>
      </w:rPr>
      <w:fldChar w:fldCharType="begin"/>
    </w:r>
    <w:r>
      <w:rPr>
        <w:color w:val="57606A"/>
        <w:sz w:val="16"/>
        <w:szCs w:val="16"/>
      </w:rPr>
      <w:instrText>NUMPAGES</w:instrText>
    </w:r>
    <w:r>
      <w:rPr>
        <w:color w:val="57606A"/>
        <w:sz w:val="16"/>
        <w:szCs w:val="16"/>
      </w:rPr>
      <w:fldChar w:fldCharType="separate"/>
    </w:r>
    <w:r w:rsidR="00DA278E">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DFAC79" w14:textId="77777777" w:rsidR="0017243E" w:rsidRDefault="0017243E">
      <w:r>
        <w:separator/>
      </w:r>
    </w:p>
  </w:footnote>
  <w:footnote w:type="continuationSeparator" w:id="0">
    <w:p w14:paraId="1E5D4069" w14:textId="77777777" w:rsidR="0017243E" w:rsidRDefault="00172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C345A"/>
    <w:multiLevelType w:val="hybridMultilevel"/>
    <w:tmpl w:val="60A8A238"/>
    <w:lvl w:ilvl="0" w:tplc="AC20DF40">
      <w:start w:val="1"/>
      <w:numFmt w:val="decimal"/>
      <w:lvlText w:val="%1."/>
      <w:lvlJc w:val="left"/>
      <w:pPr>
        <w:ind w:left="480" w:hanging="360"/>
      </w:pPr>
    </w:lvl>
    <w:lvl w:ilvl="1" w:tplc="1382ABB4">
      <w:numFmt w:val="decimal"/>
      <w:lvlText w:val=""/>
      <w:lvlJc w:val="left"/>
    </w:lvl>
    <w:lvl w:ilvl="2" w:tplc="933E3BD8">
      <w:numFmt w:val="decimal"/>
      <w:lvlText w:val=""/>
      <w:lvlJc w:val="left"/>
    </w:lvl>
    <w:lvl w:ilvl="3" w:tplc="56C40DBE">
      <w:numFmt w:val="decimal"/>
      <w:lvlText w:val=""/>
      <w:lvlJc w:val="left"/>
    </w:lvl>
    <w:lvl w:ilvl="4" w:tplc="B89A8A2E">
      <w:numFmt w:val="decimal"/>
      <w:lvlText w:val=""/>
      <w:lvlJc w:val="left"/>
    </w:lvl>
    <w:lvl w:ilvl="5" w:tplc="A98E38FE">
      <w:numFmt w:val="decimal"/>
      <w:lvlText w:val=""/>
      <w:lvlJc w:val="left"/>
    </w:lvl>
    <w:lvl w:ilvl="6" w:tplc="E4C28C86">
      <w:numFmt w:val="decimal"/>
      <w:lvlText w:val=""/>
      <w:lvlJc w:val="left"/>
    </w:lvl>
    <w:lvl w:ilvl="7" w:tplc="5E9CFBB4">
      <w:numFmt w:val="decimal"/>
      <w:lvlText w:val=""/>
      <w:lvlJc w:val="left"/>
    </w:lvl>
    <w:lvl w:ilvl="8" w:tplc="AA064968">
      <w:numFmt w:val="decimal"/>
      <w:lvlText w:val=""/>
      <w:lvlJc w:val="left"/>
    </w:lvl>
  </w:abstractNum>
  <w:abstractNum w:abstractNumId="1" w15:restartNumberingAfterBreak="0">
    <w:nsid w:val="0EBB3D9E"/>
    <w:multiLevelType w:val="hybridMultilevel"/>
    <w:tmpl w:val="F7D0A188"/>
    <w:lvl w:ilvl="0" w:tplc="67EC23FE">
      <w:start w:val="1"/>
      <w:numFmt w:val="bullet"/>
      <w:lvlText w:val="●"/>
      <w:lvlJc w:val="left"/>
      <w:pPr>
        <w:ind w:left="720" w:hanging="360"/>
      </w:pPr>
    </w:lvl>
    <w:lvl w:ilvl="1" w:tplc="297CE2EA">
      <w:start w:val="1"/>
      <w:numFmt w:val="bullet"/>
      <w:lvlText w:val="○"/>
      <w:lvlJc w:val="left"/>
      <w:pPr>
        <w:ind w:left="1440" w:hanging="360"/>
      </w:pPr>
    </w:lvl>
    <w:lvl w:ilvl="2" w:tplc="D4460E30">
      <w:start w:val="1"/>
      <w:numFmt w:val="bullet"/>
      <w:lvlText w:val="■"/>
      <w:lvlJc w:val="left"/>
      <w:pPr>
        <w:ind w:left="2160" w:hanging="360"/>
      </w:pPr>
    </w:lvl>
    <w:lvl w:ilvl="3" w:tplc="A52E6A40">
      <w:start w:val="1"/>
      <w:numFmt w:val="bullet"/>
      <w:lvlText w:val="●"/>
      <w:lvlJc w:val="left"/>
      <w:pPr>
        <w:ind w:left="2880" w:hanging="360"/>
      </w:pPr>
    </w:lvl>
    <w:lvl w:ilvl="4" w:tplc="823A520A">
      <w:start w:val="1"/>
      <w:numFmt w:val="bullet"/>
      <w:lvlText w:val="○"/>
      <w:lvlJc w:val="left"/>
      <w:pPr>
        <w:ind w:left="3600" w:hanging="360"/>
      </w:pPr>
    </w:lvl>
    <w:lvl w:ilvl="5" w:tplc="A2CAC686">
      <w:start w:val="1"/>
      <w:numFmt w:val="bullet"/>
      <w:lvlText w:val="■"/>
      <w:lvlJc w:val="left"/>
      <w:pPr>
        <w:ind w:left="4320" w:hanging="360"/>
      </w:pPr>
    </w:lvl>
    <w:lvl w:ilvl="6" w:tplc="7E201E28">
      <w:start w:val="1"/>
      <w:numFmt w:val="bullet"/>
      <w:lvlText w:val="●"/>
      <w:lvlJc w:val="left"/>
      <w:pPr>
        <w:ind w:left="5040" w:hanging="360"/>
      </w:pPr>
    </w:lvl>
    <w:lvl w:ilvl="7" w:tplc="5C8A857A">
      <w:start w:val="1"/>
      <w:numFmt w:val="bullet"/>
      <w:lvlText w:val="●"/>
      <w:lvlJc w:val="left"/>
      <w:pPr>
        <w:ind w:left="5760" w:hanging="360"/>
      </w:pPr>
    </w:lvl>
    <w:lvl w:ilvl="8" w:tplc="0C4E6F54">
      <w:start w:val="1"/>
      <w:numFmt w:val="bullet"/>
      <w:lvlText w:val="●"/>
      <w:lvlJc w:val="left"/>
      <w:pPr>
        <w:ind w:left="6480" w:hanging="360"/>
      </w:pPr>
    </w:lvl>
  </w:abstractNum>
  <w:abstractNum w:abstractNumId="2" w15:restartNumberingAfterBreak="0">
    <w:nsid w:val="19DF30A1"/>
    <w:multiLevelType w:val="hybridMultilevel"/>
    <w:tmpl w:val="7CB6D876"/>
    <w:lvl w:ilvl="0" w:tplc="E8128018">
      <w:start w:val="1"/>
      <w:numFmt w:val="bullet"/>
      <w:lvlText w:val="–"/>
      <w:lvlJc w:val="left"/>
      <w:pPr>
        <w:ind w:left="420" w:hanging="300"/>
      </w:pPr>
    </w:lvl>
    <w:lvl w:ilvl="1" w:tplc="B6AEACB0">
      <w:numFmt w:val="decimal"/>
      <w:lvlText w:val=""/>
      <w:lvlJc w:val="left"/>
    </w:lvl>
    <w:lvl w:ilvl="2" w:tplc="6BD41D98">
      <w:numFmt w:val="decimal"/>
      <w:lvlText w:val=""/>
      <w:lvlJc w:val="left"/>
    </w:lvl>
    <w:lvl w:ilvl="3" w:tplc="AB323224">
      <w:numFmt w:val="decimal"/>
      <w:lvlText w:val=""/>
      <w:lvlJc w:val="left"/>
    </w:lvl>
    <w:lvl w:ilvl="4" w:tplc="01126496">
      <w:numFmt w:val="decimal"/>
      <w:lvlText w:val=""/>
      <w:lvlJc w:val="left"/>
    </w:lvl>
    <w:lvl w:ilvl="5" w:tplc="5F9EC822">
      <w:numFmt w:val="decimal"/>
      <w:lvlText w:val=""/>
      <w:lvlJc w:val="left"/>
    </w:lvl>
    <w:lvl w:ilvl="6" w:tplc="6116033A">
      <w:numFmt w:val="decimal"/>
      <w:lvlText w:val=""/>
      <w:lvlJc w:val="left"/>
    </w:lvl>
    <w:lvl w:ilvl="7" w:tplc="13DC55D4">
      <w:numFmt w:val="decimal"/>
      <w:lvlText w:val=""/>
      <w:lvlJc w:val="left"/>
    </w:lvl>
    <w:lvl w:ilvl="8" w:tplc="2C0E797A">
      <w:numFmt w:val="decimal"/>
      <w:lvlText w:val=""/>
      <w:lvlJc w:val="left"/>
    </w:lvl>
  </w:abstractNum>
  <w:num w:numId="1" w16cid:durableId="1433478898">
    <w:abstractNumId w:val="1"/>
    <w:lvlOverride w:ilvl="0">
      <w:startOverride w:val="1"/>
    </w:lvlOverride>
  </w:num>
  <w:num w:numId="2" w16cid:durableId="903612362">
    <w:abstractNumId w:val="0"/>
    <w:lvlOverride w:ilvl="0">
      <w:startOverride w:val="1"/>
    </w:lvlOverride>
  </w:num>
  <w:num w:numId="3" w16cid:durableId="392580856">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83D"/>
    <w:rsid w:val="0017243E"/>
    <w:rsid w:val="00B7283D"/>
    <w:rsid w:val="00BA6297"/>
    <w:rsid w:val="00DA278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BA1986E"/>
  <w15:docId w15:val="{5CC65FDC-C66D-1C42-9B8B-638694A0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328"/>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1851</Words>
  <Characters>13440</Characters>
  <Application>Microsoft Office Word</Application>
  <DocSecurity>0</DocSecurity>
  <Lines>280</Lines>
  <Paragraphs>114</Paragraphs>
  <ScaleCrop>false</ScaleCrop>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2026-07-12T19:56:00Z</dcterms:created>
  <dcterms:modified xsi:type="dcterms:W3CDTF">2026-07-12T20:15:00Z</dcterms:modified>
</cp:coreProperties>
</file>