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77A7" w14:textId="77777777" w:rsidR="00D65FEF" w:rsidRDefault="00000000">
      <w:pPr>
        <w:spacing w:after="60"/>
      </w:pPr>
      <w:r>
        <w:rPr>
          <w:b/>
          <w:bCs/>
          <w:color w:val="0969DA"/>
          <w:sz w:val="40"/>
          <w:szCs w:val="40"/>
        </w:rPr>
        <w:t>Programmieren lehren im Zeitalter generativer KI</w:t>
      </w:r>
    </w:p>
    <w:p w14:paraId="00FE3AE8" w14:textId="77777777" w:rsidR="00D65FEF" w:rsidRDefault="00000000">
      <w:pPr>
        <w:spacing w:after="60"/>
      </w:pPr>
      <w:r>
        <w:rPr>
          <w:sz w:val="26"/>
          <w:szCs w:val="26"/>
        </w:rPr>
        <w:t>Positionspapier zur Fachdiskussion: Syntax-Handwerk versus Modellierungskompetenz</w:t>
      </w:r>
    </w:p>
    <w:p w14:paraId="342685DD" w14:textId="77777777" w:rsidR="00D65FEF" w:rsidRPr="00B0101E" w:rsidRDefault="00000000">
      <w:pPr>
        <w:pBdr>
          <w:bottom w:val="single" w:sz="8" w:space="4" w:color="0969DA"/>
        </w:pBdr>
        <w:spacing w:after="240"/>
        <w:rPr>
          <w:lang w:val="en-US"/>
        </w:rPr>
      </w:pPr>
      <w:r w:rsidRPr="00B0101E">
        <w:rPr>
          <w:i/>
          <w:iCs/>
          <w:color w:val="57606A"/>
          <w:sz w:val="18"/>
          <w:szCs w:val="18"/>
          <w:lang w:val="en-US"/>
        </w:rPr>
        <w:t xml:space="preserve">Stand: Juli </w:t>
      </w:r>
      <w:proofErr w:type="gramStart"/>
      <w:r w:rsidRPr="00B0101E">
        <w:rPr>
          <w:i/>
          <w:iCs/>
          <w:color w:val="57606A"/>
          <w:sz w:val="18"/>
          <w:szCs w:val="18"/>
          <w:lang w:val="en-US"/>
        </w:rPr>
        <w:t>2026  ·</w:t>
      </w:r>
      <w:proofErr w:type="gramEnd"/>
      <w:r w:rsidRPr="00B0101E">
        <w:rPr>
          <w:i/>
          <w:iCs/>
          <w:color w:val="57606A"/>
          <w:sz w:val="18"/>
          <w:szCs w:val="18"/>
          <w:lang w:val="en-US"/>
        </w:rPr>
        <w:t xml:space="preserve">  </w:t>
      </w:r>
      <w:proofErr w:type="spellStart"/>
      <w:r w:rsidRPr="00B0101E">
        <w:rPr>
          <w:i/>
          <w:iCs/>
          <w:color w:val="57606A"/>
          <w:sz w:val="18"/>
          <w:szCs w:val="18"/>
          <w:lang w:val="en-US"/>
        </w:rPr>
        <w:t>Anlass</w:t>
      </w:r>
      <w:proofErr w:type="spellEnd"/>
      <w:r w:rsidRPr="00B0101E">
        <w:rPr>
          <w:i/>
          <w:iCs/>
          <w:color w:val="57606A"/>
          <w:sz w:val="18"/>
          <w:szCs w:val="18"/>
          <w:lang w:val="en-US"/>
        </w:rPr>
        <w:t xml:space="preserve">: </w:t>
      </w:r>
      <w:proofErr w:type="spellStart"/>
      <w:r w:rsidRPr="00B0101E">
        <w:rPr>
          <w:i/>
          <w:iCs/>
          <w:color w:val="57606A"/>
          <w:sz w:val="18"/>
          <w:szCs w:val="18"/>
          <w:lang w:val="en-US"/>
        </w:rPr>
        <w:t>Vortrag</w:t>
      </w:r>
      <w:proofErr w:type="spellEnd"/>
      <w:r w:rsidRPr="00B0101E">
        <w:rPr>
          <w:i/>
          <w:iCs/>
          <w:color w:val="57606A"/>
          <w:sz w:val="18"/>
          <w:szCs w:val="18"/>
          <w:lang w:val="en-US"/>
        </w:rPr>
        <w:t xml:space="preserve"> L. Alemán (MIT Teaching + Learning Lab): „AI in Education: Navigating Teaching and Assessing Student Learning in the GenAI </w:t>
      </w:r>
      <w:proofErr w:type="gramStart"/>
      <w:r w:rsidRPr="00B0101E">
        <w:rPr>
          <w:i/>
          <w:iCs/>
          <w:color w:val="57606A"/>
          <w:sz w:val="18"/>
          <w:szCs w:val="18"/>
          <w:lang w:val="en-US"/>
        </w:rPr>
        <w:t>Era“</w:t>
      </w:r>
      <w:proofErr w:type="gramEnd"/>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D65FEF" w14:paraId="6FAC6E07" w14:textId="77777777">
        <w:tblPrEx>
          <w:tblCellMar>
            <w:top w:w="0" w:type="dxa"/>
            <w:bottom w:w="0" w:type="dxa"/>
          </w:tblCellMar>
        </w:tblPrEx>
        <w:tc>
          <w:tcPr>
            <w:tcW w:w="9026" w:type="dxa"/>
            <w:tcBorders>
              <w:top w:val="none" w:sz="0" w:space="0" w:color="FFFFFF"/>
              <w:left w:val="single" w:sz="24" w:space="0" w:color="0969DA"/>
              <w:bottom w:val="none" w:sz="0" w:space="0" w:color="FFFFFF"/>
              <w:right w:val="none" w:sz="0" w:space="0" w:color="FFFFFF"/>
            </w:tcBorders>
            <w:shd w:val="clear" w:color="auto" w:fill="DDF4FF"/>
            <w:tcMar>
              <w:top w:w="160" w:type="dxa"/>
              <w:left w:w="240" w:type="dxa"/>
              <w:bottom w:w="160" w:type="dxa"/>
              <w:right w:w="240" w:type="dxa"/>
            </w:tcMar>
          </w:tcPr>
          <w:p w14:paraId="44EA2FE0" w14:textId="77777777" w:rsidR="00D65FEF" w:rsidRDefault="00000000">
            <w:pPr>
              <w:spacing w:after="80"/>
            </w:pPr>
            <w:r>
              <w:rPr>
                <w:b/>
                <w:bCs/>
                <w:color w:val="0969DA"/>
              </w:rPr>
              <w:t>Kernthese dieses Papiers</w:t>
            </w:r>
          </w:p>
          <w:p w14:paraId="673B7961" w14:textId="77777777" w:rsidR="00D65FEF" w:rsidRDefault="00000000">
            <w:pPr>
              <w:spacing w:line="276" w:lineRule="auto"/>
            </w:pPr>
            <w:r>
              <w:t xml:space="preserve">Die Frage „Müssen Lernende noch selbst programmieren?“ ist in dieser Form nicht entscheidbar, weil sie drei Dinge vermischt: das </w:t>
            </w:r>
            <w:r>
              <w:rPr>
                <w:b/>
                <w:bCs/>
              </w:rPr>
              <w:t>Trainingsmedium</w:t>
            </w:r>
            <w:r>
              <w:t xml:space="preserve"> (womit wird Denken geübt?), die </w:t>
            </w:r>
            <w:r>
              <w:rPr>
                <w:b/>
                <w:bCs/>
              </w:rPr>
              <w:t>Zielkompetenz</w:t>
            </w:r>
            <w:r>
              <w:t xml:space="preserve"> (was sollen Lernende am Ende können?) und den </w:t>
            </w:r>
            <w:r>
              <w:rPr>
                <w:b/>
                <w:bCs/>
              </w:rPr>
              <w:t>Prüfgegenstand</w:t>
            </w:r>
            <w:r>
              <w:t xml:space="preserve"> (was wird benotet?). Werden diese drei Ebenen getrennt, löst sich der scheinbare Widerspruch zwischen „Syntax-Pflicht“ und „Modellierungs-Prüfung“ weitgehend auf – es bleibt eine empirisch offene Restfrage nach dem notwendigen Mindestmaß an Schreibfertigkeit.</w:t>
            </w:r>
          </w:p>
        </w:tc>
      </w:tr>
    </w:tbl>
    <w:p w14:paraId="4506030C" w14:textId="77777777" w:rsidR="00D65FEF" w:rsidRDefault="00D65FEF">
      <w:pPr>
        <w:spacing w:after="120"/>
      </w:pPr>
    </w:p>
    <w:p w14:paraId="12AFAA9F" w14:textId="77777777" w:rsidR="00D65FEF" w:rsidRDefault="00000000">
      <w:pPr>
        <w:pStyle w:val="berschrift1"/>
        <w:spacing w:before="360" w:after="160"/>
      </w:pPr>
      <w:proofErr w:type="gramStart"/>
      <w:r>
        <w:rPr>
          <w:b/>
          <w:bCs/>
          <w:color w:val="0969DA"/>
          <w:sz w:val="30"/>
          <w:szCs w:val="30"/>
        </w:rPr>
        <w:t>1  Anlass</w:t>
      </w:r>
      <w:proofErr w:type="gramEnd"/>
      <w:r>
        <w:rPr>
          <w:b/>
          <w:bCs/>
          <w:color w:val="0969DA"/>
          <w:sz w:val="30"/>
          <w:szCs w:val="30"/>
        </w:rPr>
        <w:t xml:space="preserve"> und Leitfrage</w:t>
      </w:r>
    </w:p>
    <w:p w14:paraId="78313F45" w14:textId="77777777" w:rsidR="00D65FEF" w:rsidRDefault="00000000">
      <w:pPr>
        <w:spacing w:after="160" w:line="288" w:lineRule="auto"/>
      </w:pPr>
      <w:r>
        <w:t xml:space="preserve">Generative KI erzeugt lauffähigen Code in Sekunden. Damit verliert das fertige Programm als alleiniger Kompetenznachweis seinen Wert, und der Informatikunterricht steht vor einer Grundsatzentscheidung über sein Kerngeschäft. Alemán benennt drei Risiken des KI-Einsatzes im Lernprozess: </w:t>
      </w:r>
      <w:proofErr w:type="spellStart"/>
      <w:r>
        <w:t>Deskilling</w:t>
      </w:r>
      <w:proofErr w:type="spellEnd"/>
      <w:r>
        <w:t xml:space="preserve"> (Verlust vorhandener Fähigkeiten), </w:t>
      </w:r>
      <w:proofErr w:type="spellStart"/>
      <w:r>
        <w:t>Misskilling</w:t>
      </w:r>
      <w:proofErr w:type="spellEnd"/>
      <w:r>
        <w:t xml:space="preserve"> (unreflektierte Übernahme von KI-Fehlern) und Never-Skilling (Expertise wird nie aufgebaut – für Lernende das größte Risiko).</w:t>
      </w:r>
    </w:p>
    <w:p w14:paraId="14552C09" w14:textId="77777777" w:rsidR="00D65FEF" w:rsidRDefault="00000000">
      <w:pPr>
        <w:spacing w:after="160" w:line="288" w:lineRule="auto"/>
      </w:pPr>
      <w:r>
        <w:t xml:space="preserve">Für die Fachschaft Informatik spitzt sich das auf folgende Leitfrage zu: </w:t>
      </w:r>
      <w:r>
        <w:rPr>
          <w:i/>
          <w:iCs/>
        </w:rPr>
        <w:t>Verlangen wir Lernenden weiterhin verpflichtend das eigenhändige Schreiben von Code ab – oder verlagern wir Unterricht und Leistungsbewertung konsequent auf Modellierung, Spezifikation und Verifikation und nehmen den Verlust der Schreibfertigkeit bewusst in Kauf?</w:t>
      </w:r>
    </w:p>
    <w:p w14:paraId="22871363" w14:textId="77777777" w:rsidR="00D65FEF" w:rsidRDefault="00000000">
      <w:pPr>
        <w:pStyle w:val="berschrift1"/>
        <w:spacing w:before="360" w:after="160"/>
      </w:pPr>
      <w:proofErr w:type="gramStart"/>
      <w:r>
        <w:rPr>
          <w:b/>
          <w:bCs/>
          <w:color w:val="0969DA"/>
          <w:sz w:val="30"/>
          <w:szCs w:val="30"/>
        </w:rPr>
        <w:t>2  Begriffliches</w:t>
      </w:r>
      <w:proofErr w:type="gramEnd"/>
      <w:r>
        <w:rPr>
          <w:b/>
          <w:bCs/>
          <w:color w:val="0969DA"/>
          <w:sz w:val="30"/>
          <w:szCs w:val="30"/>
        </w:rPr>
        <w:t xml:space="preserve"> Fundament</w:t>
      </w:r>
    </w:p>
    <w:p w14:paraId="32FF86B2" w14:textId="77777777" w:rsidR="00D65FEF" w:rsidRDefault="00000000">
      <w:pPr>
        <w:spacing w:after="160" w:line="288" w:lineRule="auto"/>
      </w:pPr>
      <w:proofErr w:type="spellStart"/>
      <w:r>
        <w:rPr>
          <w:b/>
          <w:bCs/>
        </w:rPr>
        <w:t>Automaticity</w:t>
      </w:r>
      <w:proofErr w:type="spellEnd"/>
      <w:r>
        <w:t xml:space="preserve"> (Kognitionspsychologie, </w:t>
      </w:r>
      <w:proofErr w:type="spellStart"/>
      <w:r>
        <w:t>Cognitive</w:t>
      </w:r>
      <w:proofErr w:type="spellEnd"/>
      <w:r>
        <w:t xml:space="preserve"> Load Theory nach </w:t>
      </w:r>
      <w:proofErr w:type="spellStart"/>
      <w:r>
        <w:t>Sweller</w:t>
      </w:r>
      <w:proofErr w:type="spellEnd"/>
      <w:r>
        <w:t>): Grundlegende Regeln, Fakten und Prozeduren werden durch wiederholtes Üben so weit verinnerlicht, dass sie ohne bewusstes Nachdenken ablaufen. Erst dadurch wird das eng begrenzte Arbeitsgedächtnis (ca. 4–7 Einheiten) frei für kognitiv anspruchsvolle Aufgaben wie Analyse, Bewertung und kreatives Problemlösen.</w:t>
      </w:r>
    </w:p>
    <w:p w14:paraId="0FDF2A51" w14:textId="77777777" w:rsidR="00D65FEF" w:rsidRDefault="00000000">
      <w:pPr>
        <w:spacing w:after="160" w:line="288" w:lineRule="auto"/>
      </w:pPr>
      <w:proofErr w:type="spellStart"/>
      <w:r>
        <w:rPr>
          <w:b/>
          <w:bCs/>
        </w:rPr>
        <w:t>Cognitive</w:t>
      </w:r>
      <w:proofErr w:type="spellEnd"/>
      <w:r>
        <w:rPr>
          <w:b/>
          <w:bCs/>
        </w:rPr>
        <w:t xml:space="preserve"> </w:t>
      </w:r>
      <w:proofErr w:type="spellStart"/>
      <w:r>
        <w:rPr>
          <w:b/>
          <w:bCs/>
        </w:rPr>
        <w:t>Offloading</w:t>
      </w:r>
      <w:proofErr w:type="spellEnd"/>
      <w:r>
        <w:t xml:space="preserve"> (Risko &amp; Gilbert): Auslagerung kognitiver Arbeit an externe Werkzeuge – grundsätzlich effizient, aber riskant für Aufbau und Erhalt von Expertise. Zwei bekannte Folgeeffekte: </w:t>
      </w:r>
      <w:r>
        <w:rPr>
          <w:i/>
          <w:iCs/>
        </w:rPr>
        <w:t xml:space="preserve">Vigilance </w:t>
      </w:r>
      <w:proofErr w:type="spellStart"/>
      <w:r>
        <w:rPr>
          <w:i/>
          <w:iCs/>
        </w:rPr>
        <w:t>Decrement</w:t>
      </w:r>
      <w:proofErr w:type="spellEnd"/>
      <w:r>
        <w:t xml:space="preserve"> (die Aufmerksamkeit sinkt beim passiven Überwachen hochzuverlässiger Systeme drastisch) und das </w:t>
      </w:r>
      <w:r>
        <w:rPr>
          <w:i/>
          <w:iCs/>
        </w:rPr>
        <w:t>Out-</w:t>
      </w:r>
      <w:proofErr w:type="spellStart"/>
      <w:r>
        <w:rPr>
          <w:i/>
          <w:iCs/>
        </w:rPr>
        <w:t>of</w:t>
      </w:r>
      <w:proofErr w:type="spellEnd"/>
      <w:r>
        <w:rPr>
          <w:i/>
          <w:iCs/>
        </w:rPr>
        <w:t>-</w:t>
      </w:r>
      <w:proofErr w:type="spellStart"/>
      <w:r>
        <w:rPr>
          <w:i/>
          <w:iCs/>
        </w:rPr>
        <w:t>the</w:t>
      </w:r>
      <w:proofErr w:type="spellEnd"/>
      <w:r>
        <w:rPr>
          <w:i/>
          <w:iCs/>
        </w:rPr>
        <w:t>-Loop-Syndrom</w:t>
      </w:r>
      <w:r>
        <w:t xml:space="preserve"> (Verlust des Situationsbewusstseins; bei Systemfehlern greift der Mensch zu spät oder falsch ein).</w:t>
      </w:r>
    </w:p>
    <w:p w14:paraId="7F671C1F" w14:textId="77777777" w:rsidR="00D65FEF" w:rsidRDefault="00000000">
      <w:pPr>
        <w:spacing w:after="160" w:line="288" w:lineRule="auto"/>
      </w:pPr>
      <w:r>
        <w:rPr>
          <w:b/>
          <w:bCs/>
        </w:rPr>
        <w:t>Die Luftfahrt als Referenzfall</w:t>
      </w:r>
      <w:r>
        <w:t>: Bainbridge beschrieb bereits 1983 die „</w:t>
      </w:r>
      <w:proofErr w:type="spellStart"/>
      <w:r>
        <w:t>Ironies</w:t>
      </w:r>
      <w:proofErr w:type="spellEnd"/>
      <w:r>
        <w:t xml:space="preserve"> </w:t>
      </w:r>
      <w:proofErr w:type="spellStart"/>
      <w:r>
        <w:t>of</w:t>
      </w:r>
      <w:proofErr w:type="spellEnd"/>
      <w:r>
        <w:t xml:space="preserve"> Automation“ – je besser die Automatisierung, desto schwächer die manuellen Fähigkeiten, die im Störfall gebraucht werden. Das Stichwort „Children </w:t>
      </w:r>
      <w:proofErr w:type="spellStart"/>
      <w:r>
        <w:t>of</w:t>
      </w:r>
      <w:proofErr w:type="spellEnd"/>
      <w:r>
        <w:t xml:space="preserve"> </w:t>
      </w:r>
      <w:proofErr w:type="spellStart"/>
      <w:r>
        <w:t>the</w:t>
      </w:r>
      <w:proofErr w:type="spellEnd"/>
      <w:r>
        <w:t xml:space="preserve"> Magenta Line“ steht für Piloten, die Bordcomputer perfekt bedienen, aber grundlegende Flugfähigkeiten verloren haben. Die Antwort der Branche war nicht der Verzicht auf Automatisierung, sondern ein System aus Grundausbildung an einfachen Maschinen, verpflichtendem manuellem Fliegen und wiederkehrendem </w:t>
      </w:r>
      <w:proofErr w:type="spellStart"/>
      <w:r>
        <w:t>Simulatortraining</w:t>
      </w:r>
      <w:proofErr w:type="spellEnd"/>
      <w:r>
        <w:t xml:space="preserve"> für den Ausfallfall (</w:t>
      </w:r>
      <w:proofErr w:type="spellStart"/>
      <w:r>
        <w:t>Recurrency</w:t>
      </w:r>
      <w:proofErr w:type="spellEnd"/>
      <w:r>
        <w:t>).</w:t>
      </w:r>
    </w:p>
    <w:p w14:paraId="47E3F8A9" w14:textId="77777777" w:rsidR="00B0101E" w:rsidRDefault="00B0101E">
      <w:pPr>
        <w:spacing w:after="160" w:line="288" w:lineRule="auto"/>
      </w:pPr>
    </w:p>
    <w:p w14:paraId="31AEC208" w14:textId="77777777" w:rsidR="00D65FEF" w:rsidRDefault="00000000">
      <w:pPr>
        <w:pStyle w:val="berschrift1"/>
        <w:spacing w:before="360" w:after="160"/>
      </w:pPr>
      <w:proofErr w:type="gramStart"/>
      <w:r>
        <w:rPr>
          <w:b/>
          <w:bCs/>
          <w:color w:val="0969DA"/>
          <w:sz w:val="30"/>
          <w:szCs w:val="30"/>
        </w:rPr>
        <w:lastRenderedPageBreak/>
        <w:t>3  Das</w:t>
      </w:r>
      <w:proofErr w:type="gramEnd"/>
      <w:r>
        <w:rPr>
          <w:b/>
          <w:bCs/>
          <w:color w:val="0969DA"/>
          <w:sz w:val="30"/>
          <w:szCs w:val="30"/>
        </w:rPr>
        <w:t xml:space="preserve"> Spannungsfeld präzise benannt</w:t>
      </w:r>
    </w:p>
    <w:p w14:paraId="18566E9F" w14:textId="77777777" w:rsidR="00D65FEF" w:rsidRDefault="00000000">
      <w:pPr>
        <w:spacing w:after="160" w:line="288" w:lineRule="auto"/>
      </w:pPr>
      <w:r>
        <w:t xml:space="preserve">In der aktuellen Debatte – auch in Alemáns Argumentationslinie und ihren gängigen Übertragungen auf die Informatik – wird häufig beides zugleich gefordert: eine KI-freie Fundamentphase mit manuellem Programmieren („erst Cessna, dann Autopilot“) und zugleich Prüfungen, die Modellierung, Code-Analyse und Review in den Mittelpunkt stellen, weil das Schreiben selbst zur </w:t>
      </w:r>
      <w:proofErr w:type="spellStart"/>
      <w:r>
        <w:t>Commodity</w:t>
      </w:r>
      <w:proofErr w:type="spellEnd"/>
      <w:r>
        <w:t xml:space="preserve"> geworden sei. Das wirkt widersprüchlich, ist aber zunächst nur eine Medium-Ziel-Trennung: Programmieren als Trainingsmedium, Modellieren als Zielkompetenz. Tragfähig ist diese Konstruktion allerdings nur, wenn zwei meist unausgesprochene Annahmen zutreffen:</w:t>
      </w:r>
    </w:p>
    <w:tbl>
      <w:tblPr>
        <w:tblW w:w="103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318"/>
      </w:tblGrid>
      <w:tr w:rsidR="00D65FEF" w14:paraId="184044D1" w14:textId="77777777" w:rsidTr="00B0101E">
        <w:tblPrEx>
          <w:tblCellMar>
            <w:top w:w="0" w:type="dxa"/>
            <w:bottom w:w="0" w:type="dxa"/>
          </w:tblCellMar>
        </w:tblPrEx>
        <w:tc>
          <w:tcPr>
            <w:tcW w:w="10318" w:type="dxa"/>
            <w:tcBorders>
              <w:top w:val="none" w:sz="0" w:space="0" w:color="FFFFFF"/>
              <w:left w:val="single" w:sz="24" w:space="0" w:color="9A6700"/>
              <w:bottom w:val="none" w:sz="0" w:space="0" w:color="FFFFFF"/>
              <w:right w:val="none" w:sz="0" w:space="0" w:color="FFFFFF"/>
            </w:tcBorders>
            <w:shd w:val="clear" w:color="auto" w:fill="FFF8C5"/>
            <w:tcMar>
              <w:top w:w="160" w:type="dxa"/>
              <w:left w:w="240" w:type="dxa"/>
              <w:bottom w:w="160" w:type="dxa"/>
              <w:right w:w="240" w:type="dxa"/>
            </w:tcMar>
          </w:tcPr>
          <w:p w14:paraId="46DE88B4" w14:textId="77777777" w:rsidR="00D65FEF" w:rsidRDefault="00000000">
            <w:pPr>
              <w:spacing w:after="80"/>
            </w:pPr>
            <w:r>
              <w:rPr>
                <w:b/>
                <w:bCs/>
                <w:color w:val="9A6700"/>
              </w:rPr>
              <w:t>Zwei versteckte Annahmen</w:t>
            </w:r>
          </w:p>
          <w:p w14:paraId="622F2B0B" w14:textId="77777777" w:rsidR="00D65FEF" w:rsidRDefault="00000000">
            <w:pPr>
              <w:spacing w:after="80" w:line="276" w:lineRule="auto"/>
            </w:pPr>
            <w:r>
              <w:rPr>
                <w:b/>
                <w:bCs/>
              </w:rPr>
              <w:t xml:space="preserve">Annahme 1 – Schreiben ist notwendig für Lesen. </w:t>
            </w:r>
            <w:r>
              <w:t xml:space="preserve">Die Behauptung, nur wer selbst flüssig Code produziert, könne Code mental ausführen, prüfen und debuggen, ist eine empirische These, keine logische Notwendigkeit. Der Generation </w:t>
            </w:r>
            <w:proofErr w:type="spellStart"/>
            <w:r>
              <w:t>Effect</w:t>
            </w:r>
            <w:proofErr w:type="spellEnd"/>
            <w:r>
              <w:t xml:space="preserve"> spricht für das eigene Produzieren; zugleich sind Code-Verstehen und Code-Schreiben teilweise dissoziierte Fähigkeiten, und Lesekompetenz (Tracing, Schreibtischtest, Review) lässt sich auch direkt trainieren.</w:t>
            </w:r>
          </w:p>
          <w:p w14:paraId="4693340A" w14:textId="77777777" w:rsidR="00D65FEF" w:rsidRDefault="00000000">
            <w:pPr>
              <w:spacing w:line="276" w:lineRule="auto"/>
            </w:pPr>
            <w:r>
              <w:rPr>
                <w:b/>
                <w:bCs/>
              </w:rPr>
              <w:t xml:space="preserve">Annahme 2 – Ein einmaliges Fundament genügt. </w:t>
            </w:r>
            <w:r>
              <w:t>Genau hier bricht die Luftfahrt-Analogie: Die Luftfahrt setzt nicht auf „einmal gelernt, für immer sicher“, sondern auf kontinuierliche Pflege (</w:t>
            </w:r>
            <w:proofErr w:type="spellStart"/>
            <w:r>
              <w:t>Recurrency</w:t>
            </w:r>
            <w:proofErr w:type="spellEnd"/>
            <w:r>
              <w:t xml:space="preserve">). Ohne regelmäßige manuelle Praxis greift </w:t>
            </w:r>
            <w:proofErr w:type="spellStart"/>
            <w:r>
              <w:t>Skill</w:t>
            </w:r>
            <w:proofErr w:type="spellEnd"/>
            <w:r>
              <w:t xml:space="preserve"> Decay – die in einer sechswöchigen „Blackout-Phase“ aufgebaute </w:t>
            </w:r>
            <w:proofErr w:type="spellStart"/>
            <w:r>
              <w:t>Automaticity</w:t>
            </w:r>
            <w:proofErr w:type="spellEnd"/>
            <w:r>
              <w:t xml:space="preserve"> ist bis zur Abschlussprüfung längst erodiert.</w:t>
            </w:r>
          </w:p>
        </w:tc>
      </w:tr>
    </w:tbl>
    <w:p w14:paraId="749CCFF4" w14:textId="77777777" w:rsidR="00D65FEF" w:rsidRDefault="00D65FEF">
      <w:pPr>
        <w:spacing w:after="120"/>
      </w:pPr>
    </w:p>
    <w:p w14:paraId="20C491EA" w14:textId="1A02623E" w:rsidR="00B0101E" w:rsidRDefault="00B0101E" w:rsidP="00B0101E">
      <w:pPr>
        <w:pStyle w:val="berschrift1"/>
        <w:spacing w:before="360" w:after="160"/>
      </w:pPr>
      <w:r>
        <w:rPr>
          <w:b/>
          <w:bCs/>
          <w:color w:val="0969DA"/>
          <w:sz w:val="30"/>
          <w:szCs w:val="30"/>
        </w:rPr>
        <w:t>Kurze Gegenüberstellung</w:t>
      </w:r>
      <w:r>
        <w:rPr>
          <w:b/>
          <w:bCs/>
          <w:color w:val="0969DA"/>
          <w:sz w:val="30"/>
          <w:szCs w:val="30"/>
        </w:rPr>
        <w:t xml:space="preserve"> der Positionen</w:t>
      </w:r>
    </w:p>
    <w:p w14:paraId="1CA92A32" w14:textId="77777777" w:rsidR="00B0101E" w:rsidRDefault="00B0101E">
      <w:pPr>
        <w:spacing w:after="120"/>
      </w:pPr>
    </w:p>
    <w:tbl>
      <w:tblPr>
        <w:tblW w:w="10343"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1914"/>
        <w:gridCol w:w="4177"/>
        <w:gridCol w:w="4252"/>
      </w:tblGrid>
      <w:tr w:rsidR="00B0101E" w14:paraId="515C1B38" w14:textId="77777777" w:rsidTr="00583570">
        <w:tblPrEx>
          <w:tblCellMar>
            <w:top w:w="0" w:type="dxa"/>
            <w:bottom w:w="0" w:type="dxa"/>
          </w:tblCellMar>
        </w:tblPrEx>
        <w:trPr>
          <w:tblHeader/>
        </w:trPr>
        <w:tc>
          <w:tcPr>
            <w:tcW w:w="1914" w:type="dxa"/>
            <w:shd w:val="clear" w:color="auto" w:fill="0969DA"/>
            <w:tcMar>
              <w:top w:w="100" w:type="dxa"/>
              <w:left w:w="140" w:type="dxa"/>
              <w:bottom w:w="100" w:type="dxa"/>
              <w:right w:w="140" w:type="dxa"/>
            </w:tcMar>
          </w:tcPr>
          <w:p w14:paraId="0F023E56" w14:textId="77777777" w:rsidR="00B0101E" w:rsidRDefault="00B0101E" w:rsidP="00583570">
            <w:pPr>
              <w:spacing w:line="264" w:lineRule="auto"/>
            </w:pPr>
            <w:r>
              <w:rPr>
                <w:b/>
                <w:bCs/>
                <w:color w:val="FFFFFF"/>
                <w:sz w:val="20"/>
                <w:szCs w:val="20"/>
              </w:rPr>
              <w:t>Dimension</w:t>
            </w:r>
          </w:p>
        </w:tc>
        <w:tc>
          <w:tcPr>
            <w:tcW w:w="4177" w:type="dxa"/>
            <w:shd w:val="clear" w:color="auto" w:fill="0969DA"/>
            <w:tcMar>
              <w:top w:w="100" w:type="dxa"/>
              <w:left w:w="140" w:type="dxa"/>
              <w:bottom w:w="100" w:type="dxa"/>
              <w:right w:w="140" w:type="dxa"/>
            </w:tcMar>
          </w:tcPr>
          <w:p w14:paraId="641E20E9" w14:textId="77777777" w:rsidR="00B0101E" w:rsidRDefault="00B0101E" w:rsidP="00583570">
            <w:pPr>
              <w:spacing w:line="264" w:lineRule="auto"/>
            </w:pPr>
            <w:r>
              <w:rPr>
                <w:b/>
                <w:bCs/>
                <w:color w:val="FFFFFF"/>
                <w:sz w:val="20"/>
                <w:szCs w:val="20"/>
              </w:rPr>
              <w:t>Position A: Schreiben bleibt Pflicht</w:t>
            </w:r>
          </w:p>
        </w:tc>
        <w:tc>
          <w:tcPr>
            <w:tcW w:w="4252" w:type="dxa"/>
            <w:shd w:val="clear" w:color="auto" w:fill="0969DA"/>
            <w:tcMar>
              <w:top w:w="100" w:type="dxa"/>
              <w:left w:w="140" w:type="dxa"/>
              <w:bottom w:w="100" w:type="dxa"/>
              <w:right w:w="140" w:type="dxa"/>
            </w:tcMar>
          </w:tcPr>
          <w:p w14:paraId="72E18945" w14:textId="77777777" w:rsidR="00B0101E" w:rsidRDefault="00B0101E" w:rsidP="00583570">
            <w:pPr>
              <w:spacing w:line="264" w:lineRule="auto"/>
            </w:pPr>
            <w:r>
              <w:rPr>
                <w:b/>
                <w:bCs/>
                <w:color w:val="FFFFFF"/>
                <w:sz w:val="20"/>
                <w:szCs w:val="20"/>
              </w:rPr>
              <w:t>Position B: Modellierung im Zentrum</w:t>
            </w:r>
          </w:p>
        </w:tc>
      </w:tr>
      <w:tr w:rsidR="00B0101E" w14:paraId="6587AF11" w14:textId="77777777" w:rsidTr="00583570">
        <w:tblPrEx>
          <w:tblCellMar>
            <w:top w:w="0" w:type="dxa"/>
            <w:bottom w:w="0" w:type="dxa"/>
          </w:tblCellMar>
        </w:tblPrEx>
        <w:tc>
          <w:tcPr>
            <w:tcW w:w="1914" w:type="dxa"/>
            <w:tcMar>
              <w:top w:w="100" w:type="dxa"/>
              <w:left w:w="140" w:type="dxa"/>
              <w:bottom w:w="100" w:type="dxa"/>
              <w:right w:w="140" w:type="dxa"/>
            </w:tcMar>
          </w:tcPr>
          <w:p w14:paraId="558D169F" w14:textId="77777777" w:rsidR="00B0101E" w:rsidRDefault="00B0101E" w:rsidP="00583570">
            <w:pPr>
              <w:spacing w:line="264" w:lineRule="auto"/>
            </w:pPr>
            <w:r>
              <w:rPr>
                <w:b/>
                <w:bCs/>
                <w:sz w:val="20"/>
                <w:szCs w:val="20"/>
              </w:rPr>
              <w:t>Lernpsychologie</w:t>
            </w:r>
          </w:p>
        </w:tc>
        <w:tc>
          <w:tcPr>
            <w:tcW w:w="4177" w:type="dxa"/>
            <w:tcMar>
              <w:top w:w="100" w:type="dxa"/>
              <w:left w:w="140" w:type="dxa"/>
              <w:bottom w:w="100" w:type="dxa"/>
              <w:right w:w="140" w:type="dxa"/>
            </w:tcMar>
          </w:tcPr>
          <w:p w14:paraId="20A9C574" w14:textId="77777777" w:rsidR="00B0101E" w:rsidRDefault="00B0101E" w:rsidP="00583570">
            <w:pPr>
              <w:spacing w:line="264" w:lineRule="auto"/>
            </w:pPr>
            <w:r>
              <w:rPr>
                <w:sz w:val="20"/>
                <w:szCs w:val="20"/>
              </w:rPr>
              <w:t xml:space="preserve">Schemata entstehen am robustesten durch eigenes Konstruieren (Generation </w:t>
            </w:r>
            <w:proofErr w:type="spellStart"/>
            <w:r>
              <w:rPr>
                <w:sz w:val="20"/>
                <w:szCs w:val="20"/>
              </w:rPr>
              <w:t>Effect</w:t>
            </w:r>
            <w:proofErr w:type="spellEnd"/>
            <w:r>
              <w:rPr>
                <w:sz w:val="20"/>
                <w:szCs w:val="20"/>
              </w:rPr>
              <w:t>).</w:t>
            </w:r>
          </w:p>
        </w:tc>
        <w:tc>
          <w:tcPr>
            <w:tcW w:w="4252" w:type="dxa"/>
            <w:tcMar>
              <w:top w:w="100" w:type="dxa"/>
              <w:left w:w="140" w:type="dxa"/>
              <w:bottom w:w="100" w:type="dxa"/>
              <w:right w:w="140" w:type="dxa"/>
            </w:tcMar>
          </w:tcPr>
          <w:p w14:paraId="2C08B800" w14:textId="77777777" w:rsidR="00B0101E" w:rsidRDefault="00B0101E" w:rsidP="00583570">
            <w:pPr>
              <w:spacing w:line="264" w:lineRule="auto"/>
            </w:pPr>
            <w:r>
              <w:rPr>
                <w:sz w:val="20"/>
                <w:szCs w:val="20"/>
              </w:rPr>
              <w:t>Lesen/Tracing ist direkt trainierbar; Schreiben und Verstehen sind teilweise dissoziiert.</w:t>
            </w:r>
          </w:p>
        </w:tc>
      </w:tr>
      <w:tr w:rsidR="00B0101E" w14:paraId="75CADF92" w14:textId="77777777" w:rsidTr="00583570">
        <w:tblPrEx>
          <w:tblCellMar>
            <w:top w:w="0" w:type="dxa"/>
            <w:bottom w:w="0" w:type="dxa"/>
          </w:tblCellMar>
        </w:tblPrEx>
        <w:tc>
          <w:tcPr>
            <w:tcW w:w="1914" w:type="dxa"/>
            <w:shd w:val="clear" w:color="auto" w:fill="F6F8FA"/>
            <w:tcMar>
              <w:top w:w="100" w:type="dxa"/>
              <w:left w:w="140" w:type="dxa"/>
              <w:bottom w:w="100" w:type="dxa"/>
              <w:right w:w="140" w:type="dxa"/>
            </w:tcMar>
          </w:tcPr>
          <w:p w14:paraId="2153FB91" w14:textId="77777777" w:rsidR="00B0101E" w:rsidRDefault="00B0101E" w:rsidP="00583570">
            <w:pPr>
              <w:spacing w:line="264" w:lineRule="auto"/>
            </w:pPr>
            <w:r>
              <w:rPr>
                <w:b/>
                <w:bCs/>
                <w:sz w:val="20"/>
                <w:szCs w:val="20"/>
              </w:rPr>
              <w:t>Luftfahrt-Analogie</w:t>
            </w:r>
          </w:p>
        </w:tc>
        <w:tc>
          <w:tcPr>
            <w:tcW w:w="4177" w:type="dxa"/>
            <w:shd w:val="clear" w:color="auto" w:fill="F6F8FA"/>
            <w:tcMar>
              <w:top w:w="100" w:type="dxa"/>
              <w:left w:w="140" w:type="dxa"/>
              <w:bottom w:w="100" w:type="dxa"/>
              <w:right w:w="140" w:type="dxa"/>
            </w:tcMar>
          </w:tcPr>
          <w:p w14:paraId="2DE69BBB" w14:textId="77777777" w:rsidR="00B0101E" w:rsidRDefault="00B0101E" w:rsidP="00583570">
            <w:pPr>
              <w:spacing w:line="264" w:lineRule="auto"/>
            </w:pPr>
            <w:r>
              <w:rPr>
                <w:sz w:val="20"/>
                <w:szCs w:val="20"/>
              </w:rPr>
              <w:t xml:space="preserve">„First </w:t>
            </w:r>
            <w:proofErr w:type="spellStart"/>
            <w:r>
              <w:rPr>
                <w:sz w:val="20"/>
                <w:szCs w:val="20"/>
              </w:rPr>
              <w:t>Principles</w:t>
            </w:r>
            <w:proofErr w:type="spellEnd"/>
            <w:r>
              <w:rPr>
                <w:sz w:val="20"/>
                <w:szCs w:val="20"/>
              </w:rPr>
              <w:t>“: erst manuell fliegen lernen, dann automatisieren.</w:t>
            </w:r>
          </w:p>
        </w:tc>
        <w:tc>
          <w:tcPr>
            <w:tcW w:w="4252" w:type="dxa"/>
            <w:shd w:val="clear" w:color="auto" w:fill="F6F8FA"/>
            <w:tcMar>
              <w:top w:w="100" w:type="dxa"/>
              <w:left w:w="140" w:type="dxa"/>
              <w:bottom w:w="100" w:type="dxa"/>
              <w:right w:w="140" w:type="dxa"/>
            </w:tcMar>
          </w:tcPr>
          <w:p w14:paraId="02F1154D" w14:textId="77777777" w:rsidR="00B0101E" w:rsidRDefault="00B0101E" w:rsidP="00583570">
            <w:pPr>
              <w:spacing w:line="264" w:lineRule="auto"/>
            </w:pPr>
            <w:proofErr w:type="spellStart"/>
            <w:r>
              <w:rPr>
                <w:sz w:val="20"/>
                <w:szCs w:val="20"/>
              </w:rPr>
              <w:t>Recurrency</w:t>
            </w:r>
            <w:proofErr w:type="spellEnd"/>
            <w:r>
              <w:rPr>
                <w:sz w:val="20"/>
                <w:szCs w:val="20"/>
              </w:rPr>
              <w:t xml:space="preserve"> ernst nehmen – ein Einmalfundament ohne Pflege ist wertlos.</w:t>
            </w:r>
          </w:p>
        </w:tc>
      </w:tr>
      <w:tr w:rsidR="00B0101E" w14:paraId="5C31E18E" w14:textId="77777777" w:rsidTr="00583570">
        <w:tblPrEx>
          <w:tblCellMar>
            <w:top w:w="0" w:type="dxa"/>
            <w:bottom w:w="0" w:type="dxa"/>
          </w:tblCellMar>
        </w:tblPrEx>
        <w:tc>
          <w:tcPr>
            <w:tcW w:w="1914" w:type="dxa"/>
            <w:tcMar>
              <w:top w:w="100" w:type="dxa"/>
              <w:left w:w="140" w:type="dxa"/>
              <w:bottom w:w="100" w:type="dxa"/>
              <w:right w:w="140" w:type="dxa"/>
            </w:tcMar>
          </w:tcPr>
          <w:p w14:paraId="02EFD184" w14:textId="77777777" w:rsidR="00B0101E" w:rsidRDefault="00B0101E" w:rsidP="00583570">
            <w:pPr>
              <w:spacing w:line="264" w:lineRule="auto"/>
            </w:pPr>
            <w:r>
              <w:rPr>
                <w:b/>
                <w:bCs/>
                <w:sz w:val="20"/>
                <w:szCs w:val="20"/>
              </w:rPr>
              <w:t>Berufsrelevanz</w:t>
            </w:r>
          </w:p>
        </w:tc>
        <w:tc>
          <w:tcPr>
            <w:tcW w:w="4177" w:type="dxa"/>
            <w:tcMar>
              <w:top w:w="100" w:type="dxa"/>
              <w:left w:w="140" w:type="dxa"/>
              <w:bottom w:w="100" w:type="dxa"/>
              <w:right w:w="140" w:type="dxa"/>
            </w:tcMar>
          </w:tcPr>
          <w:p w14:paraId="45456788" w14:textId="77777777" w:rsidR="00B0101E" w:rsidRDefault="00B0101E" w:rsidP="00583570">
            <w:pPr>
              <w:spacing w:line="264" w:lineRule="auto"/>
            </w:pPr>
            <w:r>
              <w:rPr>
                <w:sz w:val="20"/>
                <w:szCs w:val="20"/>
              </w:rPr>
              <w:t>Eingreifen auf Code-Ebene bleibt Berufsrealität (DQR 4/5).</w:t>
            </w:r>
          </w:p>
        </w:tc>
        <w:tc>
          <w:tcPr>
            <w:tcW w:w="4252" w:type="dxa"/>
            <w:tcMar>
              <w:top w:w="100" w:type="dxa"/>
              <w:left w:w="140" w:type="dxa"/>
              <w:bottom w:w="100" w:type="dxa"/>
              <w:right w:w="140" w:type="dxa"/>
            </w:tcMar>
          </w:tcPr>
          <w:p w14:paraId="12A19731" w14:textId="77777777" w:rsidR="00B0101E" w:rsidRDefault="00B0101E" w:rsidP="00583570">
            <w:pPr>
              <w:spacing w:line="264" w:lineRule="auto"/>
            </w:pPr>
            <w:r>
              <w:rPr>
                <w:sz w:val="20"/>
                <w:szCs w:val="20"/>
              </w:rPr>
              <w:t>Wertschöpfung wandert zu Spezifikation, Test und Verifikation.</w:t>
            </w:r>
          </w:p>
        </w:tc>
      </w:tr>
      <w:tr w:rsidR="00B0101E" w14:paraId="6B82EAEA" w14:textId="77777777" w:rsidTr="00583570">
        <w:tblPrEx>
          <w:tblCellMar>
            <w:top w:w="0" w:type="dxa"/>
            <w:bottom w:w="0" w:type="dxa"/>
          </w:tblCellMar>
        </w:tblPrEx>
        <w:tc>
          <w:tcPr>
            <w:tcW w:w="1914" w:type="dxa"/>
            <w:shd w:val="clear" w:color="auto" w:fill="F6F8FA"/>
            <w:tcMar>
              <w:top w:w="100" w:type="dxa"/>
              <w:left w:w="140" w:type="dxa"/>
              <w:bottom w:w="100" w:type="dxa"/>
              <w:right w:w="140" w:type="dxa"/>
            </w:tcMar>
          </w:tcPr>
          <w:p w14:paraId="00A6EB9E" w14:textId="77777777" w:rsidR="00B0101E" w:rsidRDefault="00B0101E" w:rsidP="00583570">
            <w:pPr>
              <w:spacing w:line="264" w:lineRule="auto"/>
            </w:pPr>
            <w:r>
              <w:rPr>
                <w:b/>
                <w:bCs/>
                <w:sz w:val="20"/>
                <w:szCs w:val="20"/>
              </w:rPr>
              <w:t>Zeitökonomie</w:t>
            </w:r>
          </w:p>
        </w:tc>
        <w:tc>
          <w:tcPr>
            <w:tcW w:w="4177" w:type="dxa"/>
            <w:shd w:val="clear" w:color="auto" w:fill="F6F8FA"/>
            <w:tcMar>
              <w:top w:w="100" w:type="dxa"/>
              <w:left w:w="140" w:type="dxa"/>
              <w:bottom w:w="100" w:type="dxa"/>
              <w:right w:w="140" w:type="dxa"/>
            </w:tcMar>
          </w:tcPr>
          <w:p w14:paraId="1EA9B683" w14:textId="77777777" w:rsidR="00B0101E" w:rsidRDefault="00B0101E" w:rsidP="00583570">
            <w:pPr>
              <w:spacing w:line="264" w:lineRule="auto"/>
            </w:pPr>
            <w:r>
              <w:rPr>
                <w:sz w:val="20"/>
                <w:szCs w:val="20"/>
              </w:rPr>
              <w:t>Syntax-Drill ist Investition in Prüf- und Debugging-Fähigkeit.</w:t>
            </w:r>
          </w:p>
        </w:tc>
        <w:tc>
          <w:tcPr>
            <w:tcW w:w="4252" w:type="dxa"/>
            <w:shd w:val="clear" w:color="auto" w:fill="F6F8FA"/>
            <w:tcMar>
              <w:top w:w="100" w:type="dxa"/>
              <w:left w:w="140" w:type="dxa"/>
              <w:bottom w:w="100" w:type="dxa"/>
              <w:right w:w="140" w:type="dxa"/>
            </w:tcMar>
          </w:tcPr>
          <w:p w14:paraId="6FCB7636" w14:textId="77777777" w:rsidR="00B0101E" w:rsidRDefault="00B0101E" w:rsidP="00583570">
            <w:pPr>
              <w:spacing w:line="264" w:lineRule="auto"/>
            </w:pPr>
            <w:r>
              <w:rPr>
                <w:sz w:val="20"/>
                <w:szCs w:val="20"/>
              </w:rPr>
              <w:t>Syntax-Drill hat hohe Opportunitätskosten gegenüber Zielkompetenzen.</w:t>
            </w:r>
          </w:p>
        </w:tc>
      </w:tr>
      <w:tr w:rsidR="00B0101E" w14:paraId="55E8A6F2" w14:textId="77777777" w:rsidTr="00583570">
        <w:tblPrEx>
          <w:tblCellMar>
            <w:top w:w="0" w:type="dxa"/>
            <w:bottom w:w="0" w:type="dxa"/>
          </w:tblCellMar>
        </w:tblPrEx>
        <w:tc>
          <w:tcPr>
            <w:tcW w:w="1914" w:type="dxa"/>
            <w:tcMar>
              <w:top w:w="100" w:type="dxa"/>
              <w:left w:w="140" w:type="dxa"/>
              <w:bottom w:w="100" w:type="dxa"/>
              <w:right w:w="140" w:type="dxa"/>
            </w:tcMar>
          </w:tcPr>
          <w:p w14:paraId="187B0DD1" w14:textId="77777777" w:rsidR="00B0101E" w:rsidRDefault="00B0101E" w:rsidP="00583570">
            <w:pPr>
              <w:spacing w:line="264" w:lineRule="auto"/>
            </w:pPr>
            <w:r>
              <w:rPr>
                <w:b/>
                <w:bCs/>
                <w:sz w:val="20"/>
                <w:szCs w:val="20"/>
              </w:rPr>
              <w:t>Prüfungsvalidität</w:t>
            </w:r>
          </w:p>
        </w:tc>
        <w:tc>
          <w:tcPr>
            <w:tcW w:w="4177" w:type="dxa"/>
            <w:tcMar>
              <w:top w:w="100" w:type="dxa"/>
              <w:left w:w="140" w:type="dxa"/>
              <w:bottom w:w="100" w:type="dxa"/>
              <w:right w:w="140" w:type="dxa"/>
            </w:tcMar>
          </w:tcPr>
          <w:p w14:paraId="43CDD9AD" w14:textId="77777777" w:rsidR="00B0101E" w:rsidRDefault="00B0101E" w:rsidP="00583570">
            <w:pPr>
              <w:spacing w:line="264" w:lineRule="auto"/>
            </w:pPr>
            <w:r>
              <w:rPr>
                <w:sz w:val="20"/>
                <w:szCs w:val="20"/>
              </w:rPr>
              <w:t>Clean-Room-Coding ist KI-resistent und individuell zurechenbar.</w:t>
            </w:r>
          </w:p>
        </w:tc>
        <w:tc>
          <w:tcPr>
            <w:tcW w:w="4252" w:type="dxa"/>
            <w:tcMar>
              <w:top w:w="100" w:type="dxa"/>
              <w:left w:w="140" w:type="dxa"/>
              <w:bottom w:w="100" w:type="dxa"/>
              <w:right w:w="140" w:type="dxa"/>
            </w:tcMar>
          </w:tcPr>
          <w:p w14:paraId="4B249804" w14:textId="77777777" w:rsidR="00B0101E" w:rsidRDefault="00B0101E" w:rsidP="00583570">
            <w:pPr>
              <w:spacing w:line="264" w:lineRule="auto"/>
            </w:pPr>
            <w:r>
              <w:rPr>
                <w:sz w:val="20"/>
                <w:szCs w:val="20"/>
              </w:rPr>
              <w:t>Code-Defense, Review- und Sabotage-Formate prüfen Verständnis ebenso valide.</w:t>
            </w:r>
          </w:p>
        </w:tc>
      </w:tr>
      <w:tr w:rsidR="00B0101E" w14:paraId="76A28886" w14:textId="77777777" w:rsidTr="00583570">
        <w:tblPrEx>
          <w:tblCellMar>
            <w:top w:w="0" w:type="dxa"/>
            <w:bottom w:w="0" w:type="dxa"/>
          </w:tblCellMar>
        </w:tblPrEx>
        <w:tc>
          <w:tcPr>
            <w:tcW w:w="1914" w:type="dxa"/>
            <w:shd w:val="clear" w:color="auto" w:fill="F6F8FA"/>
            <w:tcMar>
              <w:top w:w="100" w:type="dxa"/>
              <w:left w:w="140" w:type="dxa"/>
              <w:bottom w:w="100" w:type="dxa"/>
              <w:right w:w="140" w:type="dxa"/>
            </w:tcMar>
          </w:tcPr>
          <w:p w14:paraId="5959756B" w14:textId="77777777" w:rsidR="00B0101E" w:rsidRDefault="00B0101E" w:rsidP="00583570">
            <w:pPr>
              <w:spacing w:line="264" w:lineRule="auto"/>
            </w:pPr>
            <w:r>
              <w:rPr>
                <w:b/>
                <w:bCs/>
                <w:sz w:val="20"/>
                <w:szCs w:val="20"/>
              </w:rPr>
              <w:t>Motivation</w:t>
            </w:r>
          </w:p>
        </w:tc>
        <w:tc>
          <w:tcPr>
            <w:tcW w:w="4177" w:type="dxa"/>
            <w:shd w:val="clear" w:color="auto" w:fill="F6F8FA"/>
            <w:tcMar>
              <w:top w:w="100" w:type="dxa"/>
              <w:left w:w="140" w:type="dxa"/>
              <w:bottom w:w="100" w:type="dxa"/>
              <w:right w:w="140" w:type="dxa"/>
            </w:tcMar>
          </w:tcPr>
          <w:p w14:paraId="57FA6C1A" w14:textId="77777777" w:rsidR="00B0101E" w:rsidRDefault="00B0101E" w:rsidP="00583570">
            <w:pPr>
              <w:spacing w:line="264" w:lineRule="auto"/>
            </w:pPr>
            <w:r>
              <w:rPr>
                <w:sz w:val="20"/>
                <w:szCs w:val="20"/>
              </w:rPr>
              <w:t>Klare Anforderungen, sichtbarer Kompetenzaufbau.</w:t>
            </w:r>
          </w:p>
        </w:tc>
        <w:tc>
          <w:tcPr>
            <w:tcW w:w="4252" w:type="dxa"/>
            <w:shd w:val="clear" w:color="auto" w:fill="F6F8FA"/>
            <w:tcMar>
              <w:top w:w="100" w:type="dxa"/>
              <w:left w:w="140" w:type="dxa"/>
              <w:bottom w:w="100" w:type="dxa"/>
              <w:right w:w="140" w:type="dxa"/>
            </w:tcMar>
          </w:tcPr>
          <w:p w14:paraId="3D12004E" w14:textId="77777777" w:rsidR="00B0101E" w:rsidRDefault="00B0101E" w:rsidP="00583570">
            <w:pPr>
              <w:spacing w:line="264" w:lineRule="auto"/>
            </w:pPr>
            <w:r>
              <w:rPr>
                <w:sz w:val="20"/>
                <w:szCs w:val="20"/>
              </w:rPr>
              <w:t>Authentische Werkzeugnutzung; Zwang ohne Sinnvermittlung erzeugt Umgehung.</w:t>
            </w:r>
          </w:p>
        </w:tc>
      </w:tr>
      <w:tr w:rsidR="00B0101E" w14:paraId="62ECB677" w14:textId="77777777" w:rsidTr="00583570">
        <w:tblPrEx>
          <w:tblCellMar>
            <w:top w:w="0" w:type="dxa"/>
            <w:bottom w:w="0" w:type="dxa"/>
          </w:tblCellMar>
        </w:tblPrEx>
        <w:tc>
          <w:tcPr>
            <w:tcW w:w="1914" w:type="dxa"/>
            <w:tcMar>
              <w:top w:w="100" w:type="dxa"/>
              <w:left w:w="140" w:type="dxa"/>
              <w:bottom w:w="100" w:type="dxa"/>
              <w:right w:w="140" w:type="dxa"/>
            </w:tcMar>
          </w:tcPr>
          <w:p w14:paraId="545C74DD" w14:textId="77777777" w:rsidR="00B0101E" w:rsidRDefault="00B0101E" w:rsidP="00583570">
            <w:pPr>
              <w:spacing w:line="264" w:lineRule="auto"/>
            </w:pPr>
            <w:r>
              <w:rPr>
                <w:b/>
                <w:bCs/>
                <w:sz w:val="20"/>
                <w:szCs w:val="20"/>
              </w:rPr>
              <w:t>Risiko bei Irrtum</w:t>
            </w:r>
          </w:p>
        </w:tc>
        <w:tc>
          <w:tcPr>
            <w:tcW w:w="4177" w:type="dxa"/>
            <w:tcMar>
              <w:top w:w="100" w:type="dxa"/>
              <w:left w:w="140" w:type="dxa"/>
              <w:bottom w:w="100" w:type="dxa"/>
              <w:right w:w="140" w:type="dxa"/>
            </w:tcMar>
          </w:tcPr>
          <w:p w14:paraId="79FC299C" w14:textId="77777777" w:rsidR="00B0101E" w:rsidRDefault="00B0101E" w:rsidP="00583570">
            <w:pPr>
              <w:spacing w:line="264" w:lineRule="auto"/>
            </w:pPr>
            <w:r>
              <w:rPr>
                <w:sz w:val="20"/>
                <w:szCs w:val="20"/>
              </w:rPr>
              <w:t>Kosten: verlorene Unterrichtszeit.</w:t>
            </w:r>
          </w:p>
        </w:tc>
        <w:tc>
          <w:tcPr>
            <w:tcW w:w="4252" w:type="dxa"/>
            <w:tcMar>
              <w:top w:w="100" w:type="dxa"/>
              <w:left w:w="140" w:type="dxa"/>
              <w:bottom w:w="100" w:type="dxa"/>
              <w:right w:w="140" w:type="dxa"/>
            </w:tcMar>
          </w:tcPr>
          <w:p w14:paraId="59D53204" w14:textId="77777777" w:rsidR="00B0101E" w:rsidRDefault="00B0101E" w:rsidP="00583570">
            <w:pPr>
              <w:spacing w:line="264" w:lineRule="auto"/>
            </w:pPr>
            <w:r>
              <w:rPr>
                <w:sz w:val="20"/>
                <w:szCs w:val="20"/>
              </w:rPr>
              <w:t>Kosten: eine Kohorte ohne Eingriffsfähigkeit, falls die KI-Wette nicht aufgeht.</w:t>
            </w:r>
          </w:p>
        </w:tc>
      </w:tr>
    </w:tbl>
    <w:p w14:paraId="28603C9E" w14:textId="77777777" w:rsidR="00B0101E" w:rsidRDefault="00B0101E">
      <w:pPr>
        <w:spacing w:after="120"/>
      </w:pPr>
    </w:p>
    <w:p w14:paraId="7A9C9691" w14:textId="77777777" w:rsidR="00B0101E" w:rsidRDefault="00B0101E">
      <w:pPr>
        <w:rPr>
          <w:b/>
          <w:bCs/>
          <w:color w:val="0969DA"/>
          <w:sz w:val="30"/>
          <w:szCs w:val="30"/>
        </w:rPr>
      </w:pPr>
      <w:r>
        <w:rPr>
          <w:b/>
          <w:bCs/>
          <w:color w:val="0969DA"/>
          <w:sz w:val="30"/>
          <w:szCs w:val="30"/>
        </w:rPr>
        <w:br w:type="page"/>
      </w:r>
    </w:p>
    <w:p w14:paraId="3EE2AF2A" w14:textId="7259D065" w:rsidR="00D65FEF" w:rsidRDefault="00000000">
      <w:pPr>
        <w:pStyle w:val="berschrift1"/>
        <w:spacing w:before="360" w:after="160"/>
      </w:pPr>
      <w:proofErr w:type="gramStart"/>
      <w:r>
        <w:rPr>
          <w:b/>
          <w:bCs/>
          <w:color w:val="0969DA"/>
          <w:sz w:val="30"/>
          <w:szCs w:val="30"/>
        </w:rPr>
        <w:lastRenderedPageBreak/>
        <w:t>4  Position</w:t>
      </w:r>
      <w:proofErr w:type="gramEnd"/>
      <w:r>
        <w:rPr>
          <w:b/>
          <w:bCs/>
          <w:color w:val="0969DA"/>
          <w:sz w:val="30"/>
          <w:szCs w:val="30"/>
        </w:rPr>
        <w:t xml:space="preserve"> A: Eigenhändiges Programmieren bleibt verpflichtend</w:t>
      </w:r>
    </w:p>
    <w:p w14:paraId="1966AAEA" w14:textId="77777777" w:rsidR="00D65FEF" w:rsidRDefault="00000000">
      <w:pPr>
        <w:spacing w:after="160" w:line="288" w:lineRule="auto"/>
      </w:pPr>
      <w:r>
        <w:rPr>
          <w:b/>
          <w:bCs/>
        </w:rPr>
        <w:t>A</w:t>
      </w:r>
      <w:proofErr w:type="gramStart"/>
      <w:r>
        <w:rPr>
          <w:b/>
          <w:bCs/>
        </w:rPr>
        <w:t>1  Kognitive</w:t>
      </w:r>
      <w:proofErr w:type="gramEnd"/>
      <w:r>
        <w:rPr>
          <w:b/>
          <w:bCs/>
        </w:rPr>
        <w:t xml:space="preserve"> Fundierung – </w:t>
      </w:r>
      <w:r>
        <w:t xml:space="preserve">Code-Review und Fehlersuche setzen mentale Ausführung voraus: Variablenzustände verfolgen, Kontrollfluss simulieren, Randfälle antizipieren. Nach allem, was die </w:t>
      </w:r>
      <w:proofErr w:type="spellStart"/>
      <w:r>
        <w:t>Cognitive</w:t>
      </w:r>
      <w:proofErr w:type="spellEnd"/>
      <w:r>
        <w:t xml:space="preserve"> Load Theory hergibt, bilden sich die dafür nötigen Schemata am robustesten durch eigenes Konstruieren – nicht durch bloßes Betrachten fremden Codes.</w:t>
      </w:r>
    </w:p>
    <w:p w14:paraId="12B77F85" w14:textId="5CBA0AA1" w:rsidR="00D65FEF" w:rsidRDefault="00000000">
      <w:pPr>
        <w:spacing w:after="160" w:line="288" w:lineRule="auto"/>
      </w:pPr>
      <w:r>
        <w:rPr>
          <w:b/>
          <w:bCs/>
        </w:rPr>
        <w:t>A</w:t>
      </w:r>
      <w:proofErr w:type="gramStart"/>
      <w:r>
        <w:rPr>
          <w:b/>
          <w:bCs/>
        </w:rPr>
        <w:t>2  Der</w:t>
      </w:r>
      <w:proofErr w:type="gramEnd"/>
      <w:r>
        <w:rPr>
          <w:b/>
          <w:bCs/>
        </w:rPr>
        <w:t xml:space="preserve"> Compiler als unbestechlicher Tutor – </w:t>
      </w:r>
      <w:r>
        <w:t xml:space="preserve">Kein anderes Medium erzwingt so kompromisslos die Zerlegung eines Problems in atomare, widerspruchsfreie Schritte. Diese Präzision ist zugleich die Voraussetzung für gutes Modellieren: Wer nie gegen einen Compiler verloren hat, modelliert </w:t>
      </w:r>
      <w:r w:rsidR="00B0101E">
        <w:t>oberflächlich</w:t>
      </w:r>
      <w:r>
        <w:t>.</w:t>
      </w:r>
    </w:p>
    <w:p w14:paraId="24A3C0BF" w14:textId="6836AE9C" w:rsidR="00D65FEF" w:rsidRDefault="00000000">
      <w:pPr>
        <w:spacing w:after="160" w:line="288" w:lineRule="auto"/>
      </w:pPr>
      <w:r>
        <w:rPr>
          <w:b/>
          <w:bCs/>
        </w:rPr>
        <w:t>A</w:t>
      </w:r>
      <w:proofErr w:type="gramStart"/>
      <w:r>
        <w:rPr>
          <w:b/>
          <w:bCs/>
        </w:rPr>
        <w:t>3  Notfallebene</w:t>
      </w:r>
      <w:proofErr w:type="gramEnd"/>
      <w:r>
        <w:rPr>
          <w:b/>
          <w:bCs/>
        </w:rPr>
        <w:t xml:space="preserve"> bei KI-Versagen – </w:t>
      </w:r>
      <w:r>
        <w:t>Wenn generierter Code halluzinierte APIs nutzt, Randfälle verfehlt oder in Endlosschleifen läuft, muss jemand auf Code-Ebene eingreifen können. Für ist das keine akademische Frage, sondern Berufsrealität – „Stick and Rudder“ im Wortsinn.</w:t>
      </w:r>
    </w:p>
    <w:p w14:paraId="39263867" w14:textId="77777777" w:rsidR="00D65FEF" w:rsidRDefault="00000000">
      <w:pPr>
        <w:spacing w:after="160" w:line="288" w:lineRule="auto"/>
      </w:pPr>
      <w:r>
        <w:rPr>
          <w:b/>
          <w:bCs/>
        </w:rPr>
        <w:t>A</w:t>
      </w:r>
      <w:proofErr w:type="gramStart"/>
      <w:r>
        <w:rPr>
          <w:b/>
          <w:bCs/>
        </w:rPr>
        <w:t>4  Prüfungsvalidität</w:t>
      </w:r>
      <w:proofErr w:type="gramEnd"/>
      <w:r>
        <w:rPr>
          <w:b/>
          <w:bCs/>
        </w:rPr>
        <w:t xml:space="preserve"> – </w:t>
      </w:r>
      <w:r>
        <w:t>Clean-Room-Formate (ohne Hilfsmittel, auf Papier oder in gesperrter IDE) sind eines der wenigen verbliebenen KI-resistenten Prüfungsformate und verankern die Note in nachweislich eigener Leistung.</w:t>
      </w:r>
    </w:p>
    <w:p w14:paraId="0A4E992B" w14:textId="14D574A3" w:rsidR="00D65FEF" w:rsidRDefault="00000000">
      <w:pPr>
        <w:spacing w:after="160" w:line="288" w:lineRule="auto"/>
      </w:pPr>
      <w:r>
        <w:rPr>
          <w:b/>
          <w:bCs/>
        </w:rPr>
        <w:t>A</w:t>
      </w:r>
      <w:proofErr w:type="gramStart"/>
      <w:r>
        <w:rPr>
          <w:b/>
          <w:bCs/>
        </w:rPr>
        <w:t>5  Übergangsrisiko</w:t>
      </w:r>
      <w:proofErr w:type="gramEnd"/>
      <w:r>
        <w:rPr>
          <w:b/>
          <w:bCs/>
        </w:rPr>
        <w:t xml:space="preserve"> – </w:t>
      </w:r>
      <w:r>
        <w:t>Das Berufsbild kippt gerade, ist aber noch nicht gekippt. Eine Kohorte, die heute syntaxfrei ausgebildet wird, trägt das volle Risiko, falls sich die Wette auf zuverlässige Code-Generierung nicht oder langsamer als erwartet einlöst. Fähigkeiten lassen sich leichter abbauen als aufbauen.</w:t>
      </w:r>
    </w:p>
    <w:p w14:paraId="0456C09F" w14:textId="77777777" w:rsidR="00D65FEF" w:rsidRDefault="00000000">
      <w:pPr>
        <w:pStyle w:val="berschrift1"/>
        <w:spacing w:before="360" w:after="160"/>
      </w:pPr>
      <w:proofErr w:type="gramStart"/>
      <w:r>
        <w:rPr>
          <w:b/>
          <w:bCs/>
          <w:color w:val="0969DA"/>
          <w:sz w:val="30"/>
          <w:szCs w:val="30"/>
        </w:rPr>
        <w:t>5  Position</w:t>
      </w:r>
      <w:proofErr w:type="gramEnd"/>
      <w:r>
        <w:rPr>
          <w:b/>
          <w:bCs/>
          <w:color w:val="0969DA"/>
          <w:sz w:val="30"/>
          <w:szCs w:val="30"/>
        </w:rPr>
        <w:t xml:space="preserve"> B: Modellierung und Verifikation ins Zentrum</w:t>
      </w:r>
    </w:p>
    <w:p w14:paraId="0F283781" w14:textId="77777777" w:rsidR="00D65FEF" w:rsidRDefault="00000000">
      <w:pPr>
        <w:spacing w:after="160" w:line="288" w:lineRule="auto"/>
      </w:pPr>
      <w:r>
        <w:rPr>
          <w:b/>
          <w:bCs/>
        </w:rPr>
        <w:t>B</w:t>
      </w:r>
      <w:proofErr w:type="gramStart"/>
      <w:r>
        <w:rPr>
          <w:b/>
          <w:bCs/>
        </w:rPr>
        <w:t xml:space="preserve">1  </w:t>
      </w:r>
      <w:proofErr w:type="spellStart"/>
      <w:r>
        <w:rPr>
          <w:b/>
          <w:bCs/>
        </w:rPr>
        <w:t>Skill</w:t>
      </w:r>
      <w:proofErr w:type="spellEnd"/>
      <w:proofErr w:type="gramEnd"/>
      <w:r>
        <w:rPr>
          <w:b/>
          <w:bCs/>
        </w:rPr>
        <w:t xml:space="preserve"> Decay entwertet das Einmalfundament – </w:t>
      </w:r>
      <w:r>
        <w:t>Ohne kontinuierliche Schreibpraxis erodiert die Schreibfertigkeit ohnehin. Knappe Unterrichtszeit in eine Fähigkeit mit eingebautem Verfallsdatum zu investieren, ist didaktisch schwer zu rechtfertigen – es sei denn, man pflegt sie dauerhaft (was Position A selten konsequent einfordert).</w:t>
      </w:r>
    </w:p>
    <w:p w14:paraId="14E61BFE" w14:textId="77777777" w:rsidR="00D65FEF" w:rsidRDefault="00000000">
      <w:pPr>
        <w:spacing w:after="160" w:line="288" w:lineRule="auto"/>
      </w:pPr>
      <w:r>
        <w:rPr>
          <w:b/>
          <w:bCs/>
        </w:rPr>
        <w:t>B</w:t>
      </w:r>
      <w:proofErr w:type="gramStart"/>
      <w:r>
        <w:rPr>
          <w:b/>
          <w:bCs/>
        </w:rPr>
        <w:t>2  Opportunitätskosten</w:t>
      </w:r>
      <w:proofErr w:type="gramEnd"/>
      <w:r>
        <w:rPr>
          <w:b/>
          <w:bCs/>
        </w:rPr>
        <w:t xml:space="preserve"> – </w:t>
      </w:r>
      <w:r>
        <w:t>Jede Stunde Syntax-Drill fehlt bei Spezifikation, Testdesign, Architektur und Verifikation – genau den Kompetenzen, die auf absehbare Zeit knapp, gefragt und menschlich bleiben. Der Wert der Arbeit verschiebt sich vom Schreiben zum Beauftragen und Prüfen.</w:t>
      </w:r>
    </w:p>
    <w:p w14:paraId="5ACCA7BA" w14:textId="77777777" w:rsidR="00D65FEF" w:rsidRDefault="00000000">
      <w:pPr>
        <w:spacing w:after="160" w:line="288" w:lineRule="auto"/>
      </w:pPr>
      <w:r>
        <w:rPr>
          <w:b/>
          <w:bCs/>
        </w:rPr>
        <w:t>B</w:t>
      </w:r>
      <w:proofErr w:type="gramStart"/>
      <w:r>
        <w:rPr>
          <w:b/>
          <w:bCs/>
        </w:rPr>
        <w:t>3  Das</w:t>
      </w:r>
      <w:proofErr w:type="gramEnd"/>
      <w:r>
        <w:rPr>
          <w:b/>
          <w:bCs/>
        </w:rPr>
        <w:t xml:space="preserve"> Abstraktionsargument – </w:t>
      </w:r>
      <w:r>
        <w:t>Assembler → C → Python: Jeder Abstraktionssprung wurde mit demselben Einwand bekämpft („ohne das Fundament versteht ihr die Maschine nicht“). Heute verifiziert niemand Compiler-Output auf Maschinencode-Ebene. Sobald ein Werkzeug zuverlässig genug ist, ersetzt kalibriertes Werkzeugvertrauen die manuelle Prüfung – strittig ist allein, ob generative KI diese Schwelle bereits erreicht hat.</w:t>
      </w:r>
    </w:p>
    <w:p w14:paraId="784B7D35" w14:textId="77777777" w:rsidR="00D65FEF" w:rsidRDefault="00000000">
      <w:pPr>
        <w:spacing w:after="160" w:line="288" w:lineRule="auto"/>
      </w:pPr>
      <w:r>
        <w:rPr>
          <w:b/>
          <w:bCs/>
        </w:rPr>
        <w:t>B</w:t>
      </w:r>
      <w:proofErr w:type="gramStart"/>
      <w:r>
        <w:rPr>
          <w:b/>
          <w:bCs/>
        </w:rPr>
        <w:t>4  Lesekompetenz</w:t>
      </w:r>
      <w:proofErr w:type="gramEnd"/>
      <w:r>
        <w:rPr>
          <w:b/>
          <w:bCs/>
        </w:rPr>
        <w:t xml:space="preserve"> ist direkt trainierbar – </w:t>
      </w:r>
      <w:r>
        <w:t xml:space="preserve">Trace-Tables, Sabotage-Debugging, </w:t>
      </w:r>
      <w:proofErr w:type="spellStart"/>
      <w:r>
        <w:t>Refactoring</w:t>
      </w:r>
      <w:proofErr w:type="spellEnd"/>
      <w:r>
        <w:t>- und Review-Aufgaben adressieren die eigentliche Zielkompetenz unmittelbar – möglicherweise zeiteffizienter als der Umweg über flüssige Eigenproduktion.</w:t>
      </w:r>
    </w:p>
    <w:p w14:paraId="030F5703" w14:textId="77777777" w:rsidR="00D65FEF" w:rsidRDefault="00000000">
      <w:pPr>
        <w:spacing w:after="160" w:line="288" w:lineRule="auto"/>
      </w:pPr>
      <w:r>
        <w:rPr>
          <w:b/>
          <w:bCs/>
        </w:rPr>
        <w:t>B</w:t>
      </w:r>
      <w:proofErr w:type="gramStart"/>
      <w:r>
        <w:rPr>
          <w:b/>
          <w:bCs/>
        </w:rPr>
        <w:t>5  Zielgruppendifferenz</w:t>
      </w:r>
      <w:proofErr w:type="gramEnd"/>
      <w:r>
        <w:rPr>
          <w:b/>
          <w:bCs/>
        </w:rPr>
        <w:t xml:space="preserve"> – </w:t>
      </w:r>
      <w:r>
        <w:t xml:space="preserve">Für Schülerinnen und Schüler, die keine Informatiker werden, ist Computational </w:t>
      </w:r>
      <w:proofErr w:type="spellStart"/>
      <w:r>
        <w:t>Thinking</w:t>
      </w:r>
      <w:proofErr w:type="spellEnd"/>
      <w:r>
        <w:t xml:space="preserve"> die transferierbare Kompetenz; Syntax-</w:t>
      </w:r>
      <w:proofErr w:type="spellStart"/>
      <w:r>
        <w:t>Automaticity</w:t>
      </w:r>
      <w:proofErr w:type="spellEnd"/>
      <w:r>
        <w:t xml:space="preserve"> in einer konkreten Sprache ist schmal und verderblich. Die Pflicht zum Handschreiben von Code trifft hier die Falschen.</w:t>
      </w:r>
    </w:p>
    <w:p w14:paraId="7E89D232" w14:textId="77777777" w:rsidR="00D65FEF" w:rsidRDefault="00000000">
      <w:pPr>
        <w:spacing w:after="160" w:line="288" w:lineRule="auto"/>
      </w:pPr>
      <w:r>
        <w:rPr>
          <w:b/>
          <w:bCs/>
        </w:rPr>
        <w:t>B</w:t>
      </w:r>
      <w:proofErr w:type="gramStart"/>
      <w:r>
        <w:rPr>
          <w:b/>
          <w:bCs/>
        </w:rPr>
        <w:t>6  Authentizität</w:t>
      </w:r>
      <w:proofErr w:type="gramEnd"/>
      <w:r>
        <w:rPr>
          <w:b/>
          <w:bCs/>
        </w:rPr>
        <w:t xml:space="preserve"> und Motivation – </w:t>
      </w:r>
      <w:r>
        <w:t>Lernende sehen die Berufsrealität (KI-Assistenz ist Standard). Erzwungene Handarbeit ohne transparent kommunizierten Zweck erzeugt Zynismus und verdeckte KI-Nutzung – das ist Alemáns eigenes Transparenz-Argument, konsequent angewendet.</w:t>
      </w:r>
    </w:p>
    <w:p w14:paraId="68D598F3" w14:textId="77777777" w:rsidR="00B0101E" w:rsidRDefault="00B0101E">
      <w:pPr>
        <w:rPr>
          <w:b/>
          <w:bCs/>
          <w:color w:val="0969DA"/>
          <w:sz w:val="30"/>
          <w:szCs w:val="30"/>
        </w:rPr>
      </w:pPr>
      <w:r>
        <w:rPr>
          <w:b/>
          <w:bCs/>
          <w:color w:val="0969DA"/>
          <w:sz w:val="30"/>
          <w:szCs w:val="30"/>
        </w:rPr>
        <w:br w:type="page"/>
      </w:r>
    </w:p>
    <w:p w14:paraId="72CE5AA4" w14:textId="77777777" w:rsidR="00D65FEF" w:rsidRDefault="00000000">
      <w:pPr>
        <w:pStyle w:val="berschrift1"/>
        <w:spacing w:before="360" w:after="160"/>
      </w:pPr>
      <w:proofErr w:type="gramStart"/>
      <w:r>
        <w:rPr>
          <w:b/>
          <w:bCs/>
          <w:color w:val="0969DA"/>
          <w:sz w:val="30"/>
          <w:szCs w:val="30"/>
        </w:rPr>
        <w:lastRenderedPageBreak/>
        <w:t>7  Synthesevorschlag</w:t>
      </w:r>
      <w:proofErr w:type="gramEnd"/>
      <w:r>
        <w:rPr>
          <w:b/>
          <w:bCs/>
          <w:color w:val="0969DA"/>
          <w:sz w:val="30"/>
          <w:szCs w:val="30"/>
        </w:rPr>
        <w:t>: Drei Unterscheidungen</w:t>
      </w:r>
    </w:p>
    <w:p w14:paraId="71784B8C" w14:textId="77777777" w:rsidR="00D65FEF" w:rsidRDefault="00000000">
      <w:pPr>
        <w:spacing w:after="160" w:line="288" w:lineRule="auto"/>
      </w:pPr>
      <w:r>
        <w:rPr>
          <w:b/>
          <w:bCs/>
        </w:rPr>
        <w:t xml:space="preserve">Erstens: Trainingsmedium, Zielkompetenz und Prüfgegenstand trennen. </w:t>
      </w:r>
      <w:r>
        <w:t xml:space="preserve">Manuelles Programmieren wird als Trainingsmedium behandelt – vergleichbar mit Tonleitern in der Musikausbildung: verpflichtend geübt, formativ begleitet, aber nicht der Kern der summativen Bewertung. Zielkompetenz und damit Hauptprüfgegenstand sind Modellierung, Spezifikation, Code-Analyse und Verifikation. Als summativer Anker der Grundfertigkeit genügt ein kompakter Clean-Room-Teil, der </w:t>
      </w:r>
      <w:r>
        <w:rPr>
          <w:i/>
          <w:iCs/>
        </w:rPr>
        <w:t>Lese-</w:t>
      </w:r>
      <w:proofErr w:type="spellStart"/>
      <w:r>
        <w:rPr>
          <w:i/>
          <w:iCs/>
        </w:rPr>
        <w:t>Automaticity</w:t>
      </w:r>
      <w:proofErr w:type="spellEnd"/>
      <w:r>
        <w:t xml:space="preserve"> prüft (Tracing, Schreibtischtest, Fehlersuche in Fünfzeilern) – nicht das Greenfield-Schreiben ganzer Programme.</w:t>
      </w:r>
    </w:p>
    <w:p w14:paraId="2EF7315F" w14:textId="77777777" w:rsidR="00D65FEF" w:rsidRDefault="00000000">
      <w:pPr>
        <w:spacing w:after="160" w:line="288" w:lineRule="auto"/>
      </w:pPr>
      <w:r>
        <w:rPr>
          <w:b/>
          <w:bCs/>
        </w:rPr>
        <w:t xml:space="preserve">Zweitens: </w:t>
      </w:r>
      <w:proofErr w:type="spellStart"/>
      <w:r>
        <w:rPr>
          <w:b/>
          <w:bCs/>
        </w:rPr>
        <w:t>Recurrency</w:t>
      </w:r>
      <w:proofErr w:type="spellEnd"/>
      <w:r>
        <w:rPr>
          <w:b/>
          <w:bCs/>
        </w:rPr>
        <w:t xml:space="preserve"> statt Einmalfundament. </w:t>
      </w:r>
      <w:r>
        <w:t xml:space="preserve">Die konsequente Übertragung des Luftfahrtmodells sind kurze, regelmäßige, niedrigschwellige manuelle Einheiten über das gesamte Curriculum (Kata-Prinzip): zehn Minuten Tracing oder Mini-Implementierung pro Woche statt einer einmaligen sechswöchigen Blackout-Phase zu Beginn. Zusätzlich werden – analog zum </w:t>
      </w:r>
      <w:proofErr w:type="spellStart"/>
      <w:r>
        <w:t>Simulatortraining</w:t>
      </w:r>
      <w:proofErr w:type="spellEnd"/>
      <w:r>
        <w:t xml:space="preserve"> – gezielt „Ausfallszenarien“ geübt: Die KI liefert fehlerhaften Code, und die Lernenden müssen manuell übernehmen.</w:t>
      </w:r>
    </w:p>
    <w:p w14:paraId="5C2DD88F" w14:textId="77777777" w:rsidR="00D65FEF" w:rsidRDefault="00000000">
      <w:pPr>
        <w:spacing w:after="160" w:line="288" w:lineRule="auto"/>
      </w:pPr>
      <w:r>
        <w:rPr>
          <w:b/>
          <w:bCs/>
        </w:rPr>
        <w:t xml:space="preserve">Drittens: nach Zielgruppe differenzieren. </w:t>
      </w:r>
      <w:r>
        <w:t>Die Positionen A und B sind nicht generell wahr oder falsch – ihr Gewicht hängt von der Zielgruppe ab:</w:t>
      </w:r>
    </w:p>
    <w:tbl>
      <w:tblPr>
        <w:tblW w:w="10201"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CellMar>
          <w:left w:w="10" w:type="dxa"/>
          <w:right w:w="10" w:type="dxa"/>
        </w:tblCellMar>
        <w:tblLook w:val="0000" w:firstRow="0" w:lastRow="0" w:firstColumn="0" w:lastColumn="0" w:noHBand="0" w:noVBand="0"/>
      </w:tblPr>
      <w:tblGrid>
        <w:gridCol w:w="2100"/>
        <w:gridCol w:w="4132"/>
        <w:gridCol w:w="3969"/>
      </w:tblGrid>
      <w:tr w:rsidR="00D65FEF" w14:paraId="260AFC0A" w14:textId="77777777" w:rsidTr="00B0101E">
        <w:tblPrEx>
          <w:tblCellMar>
            <w:top w:w="0" w:type="dxa"/>
            <w:bottom w:w="0" w:type="dxa"/>
          </w:tblCellMar>
        </w:tblPrEx>
        <w:trPr>
          <w:tblHeader/>
        </w:trPr>
        <w:tc>
          <w:tcPr>
            <w:tcW w:w="2100" w:type="dxa"/>
            <w:shd w:val="clear" w:color="auto" w:fill="0969DA"/>
            <w:tcMar>
              <w:top w:w="100" w:type="dxa"/>
              <w:left w:w="140" w:type="dxa"/>
              <w:bottom w:w="100" w:type="dxa"/>
              <w:right w:w="140" w:type="dxa"/>
            </w:tcMar>
          </w:tcPr>
          <w:p w14:paraId="65D9D7FD" w14:textId="77777777" w:rsidR="00D65FEF" w:rsidRDefault="00000000">
            <w:pPr>
              <w:spacing w:line="264" w:lineRule="auto"/>
            </w:pPr>
            <w:r>
              <w:rPr>
                <w:b/>
                <w:bCs/>
                <w:color w:val="FFFFFF"/>
                <w:sz w:val="20"/>
                <w:szCs w:val="20"/>
              </w:rPr>
              <w:t>Zielgruppe</w:t>
            </w:r>
          </w:p>
        </w:tc>
        <w:tc>
          <w:tcPr>
            <w:tcW w:w="4132" w:type="dxa"/>
            <w:shd w:val="clear" w:color="auto" w:fill="0969DA"/>
            <w:tcMar>
              <w:top w:w="100" w:type="dxa"/>
              <w:left w:w="140" w:type="dxa"/>
              <w:bottom w:w="100" w:type="dxa"/>
              <w:right w:w="140" w:type="dxa"/>
            </w:tcMar>
          </w:tcPr>
          <w:p w14:paraId="713FF048" w14:textId="77777777" w:rsidR="00D65FEF" w:rsidRDefault="00000000">
            <w:pPr>
              <w:spacing w:line="264" w:lineRule="auto"/>
            </w:pPr>
            <w:r>
              <w:rPr>
                <w:b/>
                <w:bCs/>
                <w:color w:val="FFFFFF"/>
                <w:sz w:val="20"/>
                <w:szCs w:val="20"/>
              </w:rPr>
              <w:t>Schwerpunkt</w:t>
            </w:r>
          </w:p>
        </w:tc>
        <w:tc>
          <w:tcPr>
            <w:tcW w:w="3969" w:type="dxa"/>
            <w:shd w:val="clear" w:color="auto" w:fill="0969DA"/>
            <w:tcMar>
              <w:top w:w="100" w:type="dxa"/>
              <w:left w:w="140" w:type="dxa"/>
              <w:bottom w:w="100" w:type="dxa"/>
              <w:right w:w="140" w:type="dxa"/>
            </w:tcMar>
          </w:tcPr>
          <w:p w14:paraId="3CF1DF29" w14:textId="77777777" w:rsidR="00D65FEF" w:rsidRDefault="00000000">
            <w:pPr>
              <w:spacing w:line="264" w:lineRule="auto"/>
            </w:pPr>
            <w:r>
              <w:rPr>
                <w:b/>
                <w:bCs/>
                <w:color w:val="FFFFFF"/>
                <w:sz w:val="20"/>
                <w:szCs w:val="20"/>
              </w:rPr>
              <w:t>Begründung</w:t>
            </w:r>
          </w:p>
        </w:tc>
      </w:tr>
      <w:tr w:rsidR="00D65FEF" w14:paraId="5AC36D23" w14:textId="77777777" w:rsidTr="00B0101E">
        <w:tblPrEx>
          <w:tblCellMar>
            <w:top w:w="0" w:type="dxa"/>
            <w:bottom w:w="0" w:type="dxa"/>
          </w:tblCellMar>
        </w:tblPrEx>
        <w:tc>
          <w:tcPr>
            <w:tcW w:w="2100" w:type="dxa"/>
            <w:tcMar>
              <w:top w:w="100" w:type="dxa"/>
              <w:left w:w="140" w:type="dxa"/>
              <w:bottom w:w="100" w:type="dxa"/>
              <w:right w:w="140" w:type="dxa"/>
            </w:tcMar>
          </w:tcPr>
          <w:p w14:paraId="0E73E4CD" w14:textId="5A622DC7" w:rsidR="00D65FEF" w:rsidRDefault="00000000">
            <w:pPr>
              <w:spacing w:line="264" w:lineRule="auto"/>
            </w:pPr>
            <w:r>
              <w:rPr>
                <w:b/>
                <w:bCs/>
                <w:sz w:val="20"/>
                <w:szCs w:val="20"/>
              </w:rPr>
              <w:t>Ausbildung</w:t>
            </w:r>
          </w:p>
        </w:tc>
        <w:tc>
          <w:tcPr>
            <w:tcW w:w="4132" w:type="dxa"/>
            <w:tcMar>
              <w:top w:w="100" w:type="dxa"/>
              <w:left w:w="140" w:type="dxa"/>
              <w:bottom w:w="100" w:type="dxa"/>
              <w:right w:w="140" w:type="dxa"/>
            </w:tcMar>
          </w:tcPr>
          <w:p w14:paraId="0F1D45CC" w14:textId="77777777" w:rsidR="00D65FEF" w:rsidRDefault="00000000">
            <w:pPr>
              <w:spacing w:line="264" w:lineRule="auto"/>
            </w:pPr>
            <w:r>
              <w:rPr>
                <w:sz w:val="20"/>
                <w:szCs w:val="20"/>
              </w:rPr>
              <w:t>Hoher Anteil eigenhändigen Programmierens, dauerhaft gepflegt; KI als Werkzeug ab gesichertem Fundament.</w:t>
            </w:r>
          </w:p>
        </w:tc>
        <w:tc>
          <w:tcPr>
            <w:tcW w:w="3969" w:type="dxa"/>
            <w:tcMar>
              <w:top w:w="100" w:type="dxa"/>
              <w:left w:w="140" w:type="dxa"/>
              <w:bottom w:w="100" w:type="dxa"/>
              <w:right w:w="140" w:type="dxa"/>
            </w:tcMar>
          </w:tcPr>
          <w:p w14:paraId="710B54DC" w14:textId="77777777" w:rsidR="00D65FEF" w:rsidRDefault="00000000">
            <w:pPr>
              <w:spacing w:line="264" w:lineRule="auto"/>
            </w:pPr>
            <w:r>
              <w:rPr>
                <w:sz w:val="20"/>
                <w:szCs w:val="20"/>
              </w:rPr>
              <w:t>Eingreifen auf Code-Ebene ist berufliches Kerngeschäft; Never-Skilling wäre hier ein Ausbildungsmangel.</w:t>
            </w:r>
          </w:p>
        </w:tc>
      </w:tr>
      <w:tr w:rsidR="00D65FEF" w14:paraId="4A81933A" w14:textId="77777777" w:rsidTr="00B0101E">
        <w:tblPrEx>
          <w:tblCellMar>
            <w:top w:w="0" w:type="dxa"/>
            <w:bottom w:w="0" w:type="dxa"/>
          </w:tblCellMar>
        </w:tblPrEx>
        <w:tc>
          <w:tcPr>
            <w:tcW w:w="2100" w:type="dxa"/>
            <w:shd w:val="clear" w:color="auto" w:fill="F6F8FA"/>
            <w:tcMar>
              <w:top w:w="100" w:type="dxa"/>
              <w:left w:w="140" w:type="dxa"/>
              <w:bottom w:w="100" w:type="dxa"/>
              <w:right w:w="140" w:type="dxa"/>
            </w:tcMar>
          </w:tcPr>
          <w:p w14:paraId="163EC33D" w14:textId="77777777" w:rsidR="00D65FEF" w:rsidRDefault="00000000">
            <w:pPr>
              <w:spacing w:line="264" w:lineRule="auto"/>
            </w:pPr>
            <w:r>
              <w:rPr>
                <w:b/>
                <w:bCs/>
                <w:sz w:val="20"/>
                <w:szCs w:val="20"/>
              </w:rPr>
              <w:t>Hochschule / Studium</w:t>
            </w:r>
          </w:p>
        </w:tc>
        <w:tc>
          <w:tcPr>
            <w:tcW w:w="4132" w:type="dxa"/>
            <w:shd w:val="clear" w:color="auto" w:fill="F6F8FA"/>
            <w:tcMar>
              <w:top w:w="100" w:type="dxa"/>
              <w:left w:w="140" w:type="dxa"/>
              <w:bottom w:w="100" w:type="dxa"/>
              <w:right w:w="140" w:type="dxa"/>
            </w:tcMar>
          </w:tcPr>
          <w:p w14:paraId="00D4C7BE" w14:textId="77777777" w:rsidR="00D65FEF" w:rsidRDefault="00000000">
            <w:pPr>
              <w:spacing w:line="264" w:lineRule="auto"/>
            </w:pPr>
            <w:r>
              <w:rPr>
                <w:sz w:val="20"/>
                <w:szCs w:val="20"/>
              </w:rPr>
              <w:t>Architektur, Spezifikation, Review und Verifikation dominieren; Schreib-</w:t>
            </w:r>
            <w:proofErr w:type="spellStart"/>
            <w:r>
              <w:rPr>
                <w:sz w:val="20"/>
                <w:szCs w:val="20"/>
              </w:rPr>
              <w:t>Recurrency</w:t>
            </w:r>
            <w:proofErr w:type="spellEnd"/>
            <w:r>
              <w:rPr>
                <w:sz w:val="20"/>
                <w:szCs w:val="20"/>
              </w:rPr>
              <w:t xml:space="preserve"> als Pflichtritual.</w:t>
            </w:r>
          </w:p>
        </w:tc>
        <w:tc>
          <w:tcPr>
            <w:tcW w:w="3969" w:type="dxa"/>
            <w:shd w:val="clear" w:color="auto" w:fill="F6F8FA"/>
            <w:tcMar>
              <w:top w:w="100" w:type="dxa"/>
              <w:left w:w="140" w:type="dxa"/>
              <w:bottom w:w="100" w:type="dxa"/>
              <w:right w:w="140" w:type="dxa"/>
            </w:tcMar>
          </w:tcPr>
          <w:p w14:paraId="7DFF698F" w14:textId="77777777" w:rsidR="00D65FEF" w:rsidRDefault="00000000">
            <w:pPr>
              <w:spacing w:line="264" w:lineRule="auto"/>
            </w:pPr>
            <w:r>
              <w:rPr>
                <w:sz w:val="20"/>
                <w:szCs w:val="20"/>
              </w:rPr>
              <w:t>Wertschöpfung liegt in Systemverständnis und Qualitätssicherung; Schreiben bleibt Werkzeug, nicht Ziel.</w:t>
            </w:r>
          </w:p>
        </w:tc>
      </w:tr>
      <w:tr w:rsidR="00D65FEF" w14:paraId="393B3935" w14:textId="77777777" w:rsidTr="00B0101E">
        <w:tblPrEx>
          <w:tblCellMar>
            <w:top w:w="0" w:type="dxa"/>
            <w:bottom w:w="0" w:type="dxa"/>
          </w:tblCellMar>
        </w:tblPrEx>
        <w:tc>
          <w:tcPr>
            <w:tcW w:w="2100" w:type="dxa"/>
            <w:tcMar>
              <w:top w:w="100" w:type="dxa"/>
              <w:left w:w="140" w:type="dxa"/>
              <w:bottom w:w="100" w:type="dxa"/>
              <w:right w:w="140" w:type="dxa"/>
            </w:tcMar>
          </w:tcPr>
          <w:p w14:paraId="67F9FC3F" w14:textId="77777777" w:rsidR="00D65FEF" w:rsidRDefault="00000000">
            <w:pPr>
              <w:spacing w:line="264" w:lineRule="auto"/>
            </w:pPr>
            <w:r>
              <w:rPr>
                <w:b/>
                <w:bCs/>
                <w:sz w:val="20"/>
                <w:szCs w:val="20"/>
              </w:rPr>
              <w:t>Allgemeinbildende Schule</w:t>
            </w:r>
          </w:p>
        </w:tc>
        <w:tc>
          <w:tcPr>
            <w:tcW w:w="4132" w:type="dxa"/>
            <w:tcMar>
              <w:top w:w="100" w:type="dxa"/>
              <w:left w:w="140" w:type="dxa"/>
              <w:bottom w:w="100" w:type="dxa"/>
              <w:right w:w="140" w:type="dxa"/>
            </w:tcMar>
          </w:tcPr>
          <w:p w14:paraId="7C4EF777" w14:textId="77777777" w:rsidR="00D65FEF" w:rsidRDefault="00000000">
            <w:pPr>
              <w:spacing w:line="264" w:lineRule="auto"/>
            </w:pPr>
            <w:r>
              <w:rPr>
                <w:sz w:val="20"/>
                <w:szCs w:val="20"/>
              </w:rPr>
              <w:t xml:space="preserve">Computational </w:t>
            </w:r>
            <w:proofErr w:type="spellStart"/>
            <w:r>
              <w:rPr>
                <w:sz w:val="20"/>
                <w:szCs w:val="20"/>
              </w:rPr>
              <w:t>Thinking</w:t>
            </w:r>
            <w:proofErr w:type="spellEnd"/>
            <w:r>
              <w:rPr>
                <w:sz w:val="20"/>
                <w:szCs w:val="20"/>
              </w:rPr>
              <w:t>; Code als eines von mehreren Ausdrucksmitteln (neben Pseudocode, Automaten, Diagrammen).</w:t>
            </w:r>
          </w:p>
        </w:tc>
        <w:tc>
          <w:tcPr>
            <w:tcW w:w="3969" w:type="dxa"/>
            <w:tcMar>
              <w:top w:w="100" w:type="dxa"/>
              <w:left w:w="140" w:type="dxa"/>
              <w:bottom w:w="100" w:type="dxa"/>
              <w:right w:w="140" w:type="dxa"/>
            </w:tcMar>
          </w:tcPr>
          <w:p w14:paraId="7C7896B9" w14:textId="77777777" w:rsidR="00D65FEF" w:rsidRDefault="00000000">
            <w:pPr>
              <w:spacing w:line="264" w:lineRule="auto"/>
            </w:pPr>
            <w:r>
              <w:rPr>
                <w:sz w:val="20"/>
                <w:szCs w:val="20"/>
              </w:rPr>
              <w:t>Transferierbare Denkfähigkeit zählt; Syntax-</w:t>
            </w:r>
            <w:proofErr w:type="spellStart"/>
            <w:r>
              <w:rPr>
                <w:sz w:val="20"/>
                <w:szCs w:val="20"/>
              </w:rPr>
              <w:t>Automaticity</w:t>
            </w:r>
            <w:proofErr w:type="spellEnd"/>
            <w:r>
              <w:rPr>
                <w:sz w:val="20"/>
                <w:szCs w:val="20"/>
              </w:rPr>
              <w:t xml:space="preserve"> in einer Einzelsprache ist schmal und verderblich.</w:t>
            </w:r>
          </w:p>
        </w:tc>
      </w:tr>
    </w:tbl>
    <w:p w14:paraId="300E85CA" w14:textId="77777777" w:rsidR="00D65FEF" w:rsidRDefault="00D65FEF">
      <w:pPr>
        <w:spacing w:after="120"/>
      </w:pPr>
    </w:p>
    <w:tbl>
      <w:tblPr>
        <w:tblW w:w="1017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76"/>
      </w:tblGrid>
      <w:tr w:rsidR="00D65FEF" w14:paraId="48F84B7B" w14:textId="77777777" w:rsidTr="00B0101E">
        <w:tblPrEx>
          <w:tblCellMar>
            <w:top w:w="0" w:type="dxa"/>
            <w:bottom w:w="0" w:type="dxa"/>
          </w:tblCellMar>
        </w:tblPrEx>
        <w:tc>
          <w:tcPr>
            <w:tcW w:w="10176" w:type="dxa"/>
            <w:tcBorders>
              <w:top w:val="none" w:sz="0" w:space="0" w:color="FFFFFF"/>
              <w:left w:val="single" w:sz="24" w:space="0" w:color="1A7F37"/>
              <w:bottom w:val="none" w:sz="0" w:space="0" w:color="FFFFFF"/>
              <w:right w:val="none" w:sz="0" w:space="0" w:color="FFFFFF"/>
            </w:tcBorders>
            <w:shd w:val="clear" w:color="auto" w:fill="DAFBE1"/>
            <w:tcMar>
              <w:top w:w="160" w:type="dxa"/>
              <w:left w:w="240" w:type="dxa"/>
              <w:bottom w:w="160" w:type="dxa"/>
              <w:right w:w="240" w:type="dxa"/>
            </w:tcMar>
          </w:tcPr>
          <w:p w14:paraId="382F6090" w14:textId="77777777" w:rsidR="00D65FEF" w:rsidRDefault="00000000">
            <w:pPr>
              <w:spacing w:after="80"/>
            </w:pPr>
            <w:r>
              <w:rPr>
                <w:b/>
                <w:bCs/>
                <w:color w:val="1A7F37"/>
              </w:rPr>
              <w:t>Empfehlung an die Fachschaft</w:t>
            </w:r>
          </w:p>
          <w:p w14:paraId="0B5E3ADA" w14:textId="77777777" w:rsidR="00B0101E" w:rsidRDefault="00000000">
            <w:pPr>
              <w:spacing w:line="276" w:lineRule="auto"/>
            </w:pPr>
            <w:r>
              <w:t xml:space="preserve">Keine Entweder-oder-Entscheidung zwischen „Syntax-Pflicht“ und „Modellierungs-Unterricht“, sondern ein Dreiklang: </w:t>
            </w:r>
          </w:p>
          <w:p w14:paraId="7846E077" w14:textId="77777777" w:rsidR="00B0101E" w:rsidRDefault="00B0101E">
            <w:pPr>
              <w:spacing w:line="276" w:lineRule="auto"/>
            </w:pPr>
          </w:p>
          <w:p w14:paraId="6D02E8E9" w14:textId="77777777" w:rsidR="00B0101E" w:rsidRDefault="00000000">
            <w:pPr>
              <w:spacing w:line="276" w:lineRule="auto"/>
            </w:pPr>
            <w:r>
              <w:t xml:space="preserve">(1) kontinuierliche, kurze manuelle Übungsformate über das gesamte Curriculum, </w:t>
            </w:r>
          </w:p>
          <w:p w14:paraId="6D4BDBB7" w14:textId="77777777" w:rsidR="00B0101E" w:rsidRDefault="00B0101E">
            <w:pPr>
              <w:spacing w:line="276" w:lineRule="auto"/>
            </w:pPr>
          </w:p>
          <w:p w14:paraId="2F30597E" w14:textId="77777777" w:rsidR="00B0101E" w:rsidRDefault="00000000">
            <w:pPr>
              <w:spacing w:line="276" w:lineRule="auto"/>
            </w:pPr>
            <w:r>
              <w:t xml:space="preserve">(2) summative Prüfung primär von Modellierung, Analyse und Verifikation, ergänzt um einen kompakten Clean-Room-Anker auf Lese-/Tracing-Ebene, </w:t>
            </w:r>
          </w:p>
          <w:p w14:paraId="4ECAE338" w14:textId="77777777" w:rsidR="00B0101E" w:rsidRDefault="00B0101E">
            <w:pPr>
              <w:spacing w:line="276" w:lineRule="auto"/>
            </w:pPr>
          </w:p>
          <w:p w14:paraId="0C984769" w14:textId="6CE60140" w:rsidR="00D65FEF" w:rsidRDefault="00000000">
            <w:pPr>
              <w:spacing w:line="276" w:lineRule="auto"/>
            </w:pPr>
            <w:r>
              <w:t>(3) explizite, mit den Lernenden gemeinsam entwickelte KI-Nutzungsregeln je Lernphase – inklusive transparenter Begründung, warum bestimmte Phasen KI-frei bleiben.</w:t>
            </w:r>
          </w:p>
        </w:tc>
      </w:tr>
    </w:tbl>
    <w:p w14:paraId="78747A55" w14:textId="77777777" w:rsidR="00D65FEF" w:rsidRDefault="00D65FEF">
      <w:pPr>
        <w:spacing w:after="120"/>
      </w:pPr>
    </w:p>
    <w:p w14:paraId="1CF3DCF9" w14:textId="77777777" w:rsidR="00B0101E" w:rsidRDefault="00B0101E">
      <w:pPr>
        <w:rPr>
          <w:b/>
          <w:bCs/>
          <w:color w:val="0969DA"/>
          <w:sz w:val="30"/>
          <w:szCs w:val="30"/>
        </w:rPr>
      </w:pPr>
      <w:r>
        <w:rPr>
          <w:b/>
          <w:bCs/>
          <w:color w:val="0969DA"/>
          <w:sz w:val="30"/>
          <w:szCs w:val="30"/>
        </w:rPr>
        <w:br w:type="page"/>
      </w:r>
    </w:p>
    <w:p w14:paraId="2786081D" w14:textId="587BB5A2" w:rsidR="00D65FEF" w:rsidRDefault="00000000">
      <w:pPr>
        <w:pStyle w:val="berschrift1"/>
        <w:spacing w:before="360" w:after="160"/>
      </w:pPr>
      <w:proofErr w:type="gramStart"/>
      <w:r>
        <w:rPr>
          <w:b/>
          <w:bCs/>
          <w:color w:val="0969DA"/>
          <w:sz w:val="30"/>
          <w:szCs w:val="30"/>
        </w:rPr>
        <w:lastRenderedPageBreak/>
        <w:t>8  Konsequenzen</w:t>
      </w:r>
      <w:proofErr w:type="gramEnd"/>
      <w:r>
        <w:rPr>
          <w:b/>
          <w:bCs/>
          <w:color w:val="0969DA"/>
          <w:sz w:val="30"/>
          <w:szCs w:val="30"/>
        </w:rPr>
        <w:t xml:space="preserve"> für Prüfungsformate</w:t>
      </w:r>
    </w:p>
    <w:p w14:paraId="5BF2167A" w14:textId="77777777" w:rsidR="00D65FEF" w:rsidRDefault="00000000">
      <w:pPr>
        <w:spacing w:after="160" w:line="288" w:lineRule="auto"/>
      </w:pPr>
      <w:r>
        <w:rPr>
          <w:b/>
          <w:bCs/>
        </w:rPr>
        <w:t xml:space="preserve">Zweigeteilte Prüfung. </w:t>
      </w:r>
      <w:r>
        <w:t>Teil 1 („Clean Room“, ca. 20 Minuten, ohne Hilfsmittel): Trace-Tables ausfüllen, Logikfehler in kurzen Codestücken finden, Datenstrukturen von Hand manipulieren – prüft die Grundfertigkeit auf Leseebene. Teil 2 („Open World“, mit KI): Modellierung eines Systems (z. B. als endlicher Automat), KI-gestützte Umsetzung, Dokumentation und Verteidigung des Vorgehens.</w:t>
      </w:r>
    </w:p>
    <w:p w14:paraId="71552D45" w14:textId="77777777" w:rsidR="00D65FEF" w:rsidRDefault="00000000">
      <w:pPr>
        <w:spacing w:after="160" w:line="288" w:lineRule="auto"/>
      </w:pPr>
      <w:r>
        <w:rPr>
          <w:b/>
          <w:bCs/>
        </w:rPr>
        <w:t xml:space="preserve">Sabotage- und Review-Aufgaben. </w:t>
      </w:r>
      <w:r>
        <w:t xml:space="preserve">Ausgangspunkt ist funktionsfähiger, aber subtil fehlerhafter oder ineffizienter (KI-)Code. Bewertet werden das Auffinden des Randfalls, die konzeptionelle Erklärung des Fehlers und ein begründeter Korrektur- oder </w:t>
      </w:r>
      <w:proofErr w:type="spellStart"/>
      <w:r>
        <w:t>Refactoring</w:t>
      </w:r>
      <w:proofErr w:type="spellEnd"/>
      <w:r>
        <w:t>-Vorschlag.</w:t>
      </w:r>
    </w:p>
    <w:p w14:paraId="6BB69FEF" w14:textId="77777777" w:rsidR="00D65FEF" w:rsidRDefault="00000000">
      <w:pPr>
        <w:spacing w:after="160" w:line="288" w:lineRule="auto"/>
      </w:pPr>
      <w:r>
        <w:rPr>
          <w:b/>
          <w:bCs/>
        </w:rPr>
        <w:t xml:space="preserve">Code-Verteidigung (Code Defense). </w:t>
      </w:r>
      <w:r>
        <w:t>KI-Nutzung im Projekt ist freigegeben; benotet wird ein 10- bis 15-minütiges Fachgespräch über den eingereichten Code („Warum hier eine Hash-</w:t>
      </w:r>
      <w:proofErr w:type="spellStart"/>
      <w:r>
        <w:t>Map</w:t>
      </w:r>
      <w:proofErr w:type="spellEnd"/>
      <w:r>
        <w:t>? Was passiert ohne diese Abbruchbedingung?“). Das macht kopiertes Nichtverstehen zuverlässig sichtbar.</w:t>
      </w:r>
    </w:p>
    <w:p w14:paraId="58227501" w14:textId="77777777" w:rsidR="00D65FEF" w:rsidRDefault="00000000">
      <w:pPr>
        <w:spacing w:after="160" w:line="288" w:lineRule="auto"/>
      </w:pPr>
      <w:r>
        <w:rPr>
          <w:b/>
          <w:bCs/>
        </w:rPr>
        <w:t xml:space="preserve">Prozess- und Prompt-Dokumentation. </w:t>
      </w:r>
      <w:r>
        <w:t>Bewertet wird die Qualität der Problemzerlegung vor dem Prompt (Pseudocode, Zustandsdiagramm, Spezifikation), der Umgang mit KI-Fehlern und die kritische Prüfung des Outputs – also Metakognition statt Endprodukt. Große Leistungen werden in aufeinander aufbauende Teilschritte zerlegt (</w:t>
      </w:r>
      <w:proofErr w:type="spellStart"/>
      <w:r>
        <w:t>Scaffolding</w:t>
      </w:r>
      <w:proofErr w:type="spellEnd"/>
      <w:r>
        <w:t>), damit der Prozess sichtbar und begleitbar wird.</w:t>
      </w:r>
    </w:p>
    <w:p w14:paraId="3CEF97D5" w14:textId="77777777" w:rsidR="00D65FEF" w:rsidRDefault="00000000">
      <w:pPr>
        <w:pStyle w:val="berschrift1"/>
        <w:spacing w:before="360" w:after="160"/>
      </w:pPr>
      <w:proofErr w:type="gramStart"/>
      <w:r>
        <w:rPr>
          <w:b/>
          <w:bCs/>
          <w:color w:val="0969DA"/>
          <w:sz w:val="30"/>
          <w:szCs w:val="30"/>
        </w:rPr>
        <w:t>9  Offene</w:t>
      </w:r>
      <w:proofErr w:type="gramEnd"/>
      <w:r>
        <w:rPr>
          <w:b/>
          <w:bCs/>
          <w:color w:val="0969DA"/>
          <w:sz w:val="30"/>
          <w:szCs w:val="30"/>
        </w:rPr>
        <w:t xml:space="preserve"> Fragen für die Fachdiskussion</w:t>
      </w:r>
    </w:p>
    <w:p w14:paraId="4EA09281" w14:textId="77777777" w:rsidR="00D65FEF" w:rsidRDefault="00000000">
      <w:pPr>
        <w:pStyle w:val="Listenabsatz"/>
        <w:numPr>
          <w:ilvl w:val="0"/>
          <w:numId w:val="2"/>
        </w:numPr>
        <w:spacing w:after="120" w:line="288" w:lineRule="auto"/>
      </w:pPr>
      <w:r>
        <w:t>Wie viel Schreib-</w:t>
      </w:r>
      <w:proofErr w:type="spellStart"/>
      <w:r>
        <w:t>Automaticity</w:t>
      </w:r>
      <w:proofErr w:type="spellEnd"/>
      <w:r>
        <w:t xml:space="preserve"> braucht ein guter Reviewer und Spezifikations-Autor mindestens? (Arbeitshypothese dieses Papiers: genug für zuverlässige mentale Ausführung – deutlich unterhalb flüssiger Produktion, deutlich oberhalb von null.)</w:t>
      </w:r>
    </w:p>
    <w:p w14:paraId="01214DB0" w14:textId="77777777" w:rsidR="00D65FEF" w:rsidRDefault="00000000">
      <w:pPr>
        <w:pStyle w:val="Listenabsatz"/>
        <w:numPr>
          <w:ilvl w:val="0"/>
          <w:numId w:val="2"/>
        </w:numPr>
        <w:spacing w:after="120" w:line="288" w:lineRule="auto"/>
      </w:pPr>
      <w:r>
        <w:t xml:space="preserve">Welche wöchentliche Dosis „manueller Praxis“ ist im Stundendeckel realistisch, und in welchem Format (Papier, gesperrte IDE, </w:t>
      </w:r>
      <w:proofErr w:type="spellStart"/>
      <w:r>
        <w:t>Kurzkata</w:t>
      </w:r>
      <w:proofErr w:type="spellEnd"/>
      <w:r>
        <w:t xml:space="preserve"> zu Stundenbeginn)?</w:t>
      </w:r>
    </w:p>
    <w:p w14:paraId="75ADFED9" w14:textId="77777777" w:rsidR="00D65FEF" w:rsidRDefault="00000000">
      <w:pPr>
        <w:pStyle w:val="Listenabsatz"/>
        <w:numPr>
          <w:ilvl w:val="0"/>
          <w:numId w:val="2"/>
        </w:numPr>
        <w:spacing w:after="120" w:line="288" w:lineRule="auto"/>
      </w:pPr>
      <w:r>
        <w:t>Ab welchem Punkt im Curriculum wird KI-Nutzung freigegeben – und wie wird dieser Übergang den Lernenden gegenüber begründet?</w:t>
      </w:r>
    </w:p>
    <w:p w14:paraId="2F16C797" w14:textId="77777777" w:rsidR="00D65FEF" w:rsidRDefault="00000000">
      <w:pPr>
        <w:pStyle w:val="Listenabsatz"/>
        <w:numPr>
          <w:ilvl w:val="0"/>
          <w:numId w:val="2"/>
        </w:numPr>
        <w:spacing w:after="120" w:line="288" w:lineRule="auto"/>
      </w:pPr>
      <w:r>
        <w:t>Wie gewichten wir Clean-Room-Anteil und Modellierungs-/Verteidigungsanteil in der Gesamtnote je Bildungsgang?</w:t>
      </w:r>
    </w:p>
    <w:p w14:paraId="17F3BB82" w14:textId="77777777" w:rsidR="00D65FEF" w:rsidRDefault="00000000">
      <w:pPr>
        <w:pStyle w:val="Listenabsatz"/>
        <w:numPr>
          <w:ilvl w:val="0"/>
          <w:numId w:val="2"/>
        </w:numPr>
        <w:spacing w:after="120" w:line="288" w:lineRule="auto"/>
      </w:pPr>
      <w:r>
        <w:t>Woran würden wir nach einem Schuljahr erkennen, dass unsere Wahl falsch war – welche beobachtbaren Indikatoren (Tracing-Leistung, Fehlersuchquote, Qualität der Spezifikationen) vereinbaren wir vorab?</w:t>
      </w:r>
    </w:p>
    <w:p w14:paraId="7C6D20EC" w14:textId="77777777" w:rsidR="00D65FEF" w:rsidRDefault="00000000">
      <w:pPr>
        <w:pStyle w:val="berschrift1"/>
        <w:spacing w:before="360" w:after="160"/>
      </w:pPr>
      <w:proofErr w:type="gramStart"/>
      <w:r>
        <w:rPr>
          <w:b/>
          <w:bCs/>
          <w:color w:val="0969DA"/>
          <w:sz w:val="30"/>
          <w:szCs w:val="30"/>
        </w:rPr>
        <w:t>10  Referenzierte</w:t>
      </w:r>
      <w:proofErr w:type="gramEnd"/>
      <w:r>
        <w:rPr>
          <w:b/>
          <w:bCs/>
          <w:color w:val="0969DA"/>
          <w:sz w:val="30"/>
          <w:szCs w:val="30"/>
        </w:rPr>
        <w:t xml:space="preserve"> Konzepte und Literatur</w:t>
      </w:r>
    </w:p>
    <w:p w14:paraId="0194EE81" w14:textId="77777777" w:rsidR="00D65FEF" w:rsidRDefault="00000000">
      <w:pPr>
        <w:pStyle w:val="Listenabsatz"/>
        <w:numPr>
          <w:ilvl w:val="0"/>
          <w:numId w:val="3"/>
        </w:numPr>
        <w:spacing w:after="80" w:line="276" w:lineRule="auto"/>
      </w:pPr>
      <w:r w:rsidRPr="00B0101E">
        <w:rPr>
          <w:sz w:val="20"/>
          <w:szCs w:val="20"/>
          <w:lang w:val="en-US"/>
        </w:rPr>
        <w:t xml:space="preserve">Alemán, L.: AI in Education – Navigating Teaching and Assessing Student Learning in the GenAI Era. </w:t>
      </w:r>
      <w:r>
        <w:rPr>
          <w:sz w:val="20"/>
          <w:szCs w:val="20"/>
        </w:rPr>
        <w:t xml:space="preserve">Vortrag, MIT Schwarzman College </w:t>
      </w:r>
      <w:proofErr w:type="spellStart"/>
      <w:r>
        <w:rPr>
          <w:sz w:val="20"/>
          <w:szCs w:val="20"/>
        </w:rPr>
        <w:t>of</w:t>
      </w:r>
      <w:proofErr w:type="spellEnd"/>
      <w:r>
        <w:rPr>
          <w:sz w:val="20"/>
          <w:szCs w:val="20"/>
        </w:rPr>
        <w:t xml:space="preserve"> Computing (Teaching + Learning Lab).</w:t>
      </w:r>
    </w:p>
    <w:p w14:paraId="498E8C93" w14:textId="77777777" w:rsidR="00D65FEF" w:rsidRDefault="00000000">
      <w:pPr>
        <w:pStyle w:val="Listenabsatz"/>
        <w:numPr>
          <w:ilvl w:val="0"/>
          <w:numId w:val="3"/>
        </w:numPr>
        <w:spacing w:after="80" w:line="276" w:lineRule="auto"/>
      </w:pPr>
      <w:r w:rsidRPr="00B0101E">
        <w:rPr>
          <w:sz w:val="20"/>
          <w:szCs w:val="20"/>
          <w:lang w:val="en-US"/>
        </w:rPr>
        <w:t xml:space="preserve">Bainbridge, L. (1983): Ironies of Automation. </w:t>
      </w:r>
      <w:proofErr w:type="spellStart"/>
      <w:r>
        <w:rPr>
          <w:sz w:val="20"/>
          <w:szCs w:val="20"/>
        </w:rPr>
        <w:t>Automatica</w:t>
      </w:r>
      <w:proofErr w:type="spellEnd"/>
      <w:r>
        <w:rPr>
          <w:sz w:val="20"/>
          <w:szCs w:val="20"/>
        </w:rPr>
        <w:t xml:space="preserve"> 19(6) – Grundlagentext zum Paradox der Automatisierung.</w:t>
      </w:r>
    </w:p>
    <w:p w14:paraId="7CB3C8B4" w14:textId="77777777" w:rsidR="00D65FEF" w:rsidRDefault="00000000">
      <w:pPr>
        <w:pStyle w:val="Listenabsatz"/>
        <w:numPr>
          <w:ilvl w:val="0"/>
          <w:numId w:val="3"/>
        </w:numPr>
        <w:spacing w:after="80" w:line="276" w:lineRule="auto"/>
      </w:pPr>
      <w:proofErr w:type="spellStart"/>
      <w:r>
        <w:rPr>
          <w:sz w:val="20"/>
          <w:szCs w:val="20"/>
        </w:rPr>
        <w:t>Sweller</w:t>
      </w:r>
      <w:proofErr w:type="spellEnd"/>
      <w:r>
        <w:rPr>
          <w:sz w:val="20"/>
          <w:szCs w:val="20"/>
        </w:rPr>
        <w:t xml:space="preserve">, J.: </w:t>
      </w:r>
      <w:proofErr w:type="spellStart"/>
      <w:r>
        <w:rPr>
          <w:sz w:val="20"/>
          <w:szCs w:val="20"/>
        </w:rPr>
        <w:t>Cognitive</w:t>
      </w:r>
      <w:proofErr w:type="spellEnd"/>
      <w:r>
        <w:rPr>
          <w:sz w:val="20"/>
          <w:szCs w:val="20"/>
        </w:rPr>
        <w:t xml:space="preserve"> Load Theory – Arbeitsgedächtnis, Schemabildung, Automatisierung.</w:t>
      </w:r>
    </w:p>
    <w:p w14:paraId="18279CE0" w14:textId="77777777" w:rsidR="00D65FEF" w:rsidRDefault="00000000">
      <w:pPr>
        <w:pStyle w:val="Listenabsatz"/>
        <w:numPr>
          <w:ilvl w:val="0"/>
          <w:numId w:val="3"/>
        </w:numPr>
        <w:spacing w:after="80" w:line="276" w:lineRule="auto"/>
      </w:pPr>
      <w:r w:rsidRPr="00B0101E">
        <w:rPr>
          <w:sz w:val="20"/>
          <w:szCs w:val="20"/>
          <w:lang w:val="en-US"/>
        </w:rPr>
        <w:t xml:space="preserve">Risko, E. F.; Gilbert, S. J. (2016): Cognitive Offloading. </w:t>
      </w:r>
      <w:r>
        <w:rPr>
          <w:sz w:val="20"/>
          <w:szCs w:val="20"/>
        </w:rPr>
        <w:t xml:space="preserve">Trends in </w:t>
      </w:r>
      <w:proofErr w:type="spellStart"/>
      <w:r>
        <w:rPr>
          <w:sz w:val="20"/>
          <w:szCs w:val="20"/>
        </w:rPr>
        <w:t>Cognitive</w:t>
      </w:r>
      <w:proofErr w:type="spellEnd"/>
      <w:r>
        <w:rPr>
          <w:sz w:val="20"/>
          <w:szCs w:val="20"/>
        </w:rPr>
        <w:t xml:space="preserve"> Sciences 20(9).</w:t>
      </w:r>
    </w:p>
    <w:p w14:paraId="42B9FE0A" w14:textId="77777777" w:rsidR="00D65FEF" w:rsidRDefault="00000000">
      <w:pPr>
        <w:pStyle w:val="Listenabsatz"/>
        <w:numPr>
          <w:ilvl w:val="0"/>
          <w:numId w:val="3"/>
        </w:numPr>
        <w:spacing w:after="80" w:line="276" w:lineRule="auto"/>
      </w:pPr>
      <w:r>
        <w:rPr>
          <w:sz w:val="20"/>
          <w:szCs w:val="20"/>
        </w:rPr>
        <w:t xml:space="preserve">Wiggins, G.; McTighe, J.: Understanding </w:t>
      </w:r>
      <w:proofErr w:type="spellStart"/>
      <w:r>
        <w:rPr>
          <w:sz w:val="20"/>
          <w:szCs w:val="20"/>
        </w:rPr>
        <w:t>by</w:t>
      </w:r>
      <w:proofErr w:type="spellEnd"/>
      <w:r>
        <w:rPr>
          <w:sz w:val="20"/>
          <w:szCs w:val="20"/>
        </w:rPr>
        <w:t xml:space="preserve"> Design – Grundlage des „</w:t>
      </w:r>
      <w:proofErr w:type="spellStart"/>
      <w:r>
        <w:rPr>
          <w:sz w:val="20"/>
          <w:szCs w:val="20"/>
        </w:rPr>
        <w:t>Backward</w:t>
      </w:r>
      <w:proofErr w:type="spellEnd"/>
      <w:r>
        <w:rPr>
          <w:sz w:val="20"/>
          <w:szCs w:val="20"/>
        </w:rPr>
        <w:t xml:space="preserve"> Design“.</w:t>
      </w:r>
    </w:p>
    <w:p w14:paraId="7453961A" w14:textId="77777777" w:rsidR="00D65FEF" w:rsidRDefault="00000000">
      <w:pPr>
        <w:pStyle w:val="Listenabsatz"/>
        <w:numPr>
          <w:ilvl w:val="0"/>
          <w:numId w:val="3"/>
        </w:numPr>
        <w:spacing w:after="80" w:line="276" w:lineRule="auto"/>
      </w:pPr>
      <w:r>
        <w:rPr>
          <w:sz w:val="20"/>
          <w:szCs w:val="20"/>
        </w:rPr>
        <w:t xml:space="preserve">„Children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Magenta Line“ – Trainingsvortrag (American Airlines, 1997) zum Verlust manueller Flugfähigkeiten; Fallbezug u. a. Air France 447 (2009).</w:t>
      </w:r>
    </w:p>
    <w:p w14:paraId="45B266CB" w14:textId="77777777" w:rsidR="00D65FEF" w:rsidRDefault="00000000">
      <w:pPr>
        <w:pStyle w:val="Listenabsatz"/>
        <w:numPr>
          <w:ilvl w:val="0"/>
          <w:numId w:val="3"/>
        </w:numPr>
        <w:spacing w:after="80" w:line="276" w:lineRule="auto"/>
      </w:pPr>
      <w:r>
        <w:rPr>
          <w:sz w:val="20"/>
          <w:szCs w:val="20"/>
        </w:rPr>
        <w:t xml:space="preserve">Studienlage zu KI-gestützter Koloskopie und nachlassender Erkennungsleistung ohne KI-Unterstützung (im Vortrag referenziert; </w:t>
      </w:r>
      <w:proofErr w:type="spellStart"/>
      <w:r>
        <w:rPr>
          <w:sz w:val="20"/>
          <w:szCs w:val="20"/>
        </w:rPr>
        <w:t>Deskilling</w:t>
      </w:r>
      <w:proofErr w:type="spellEnd"/>
      <w:r>
        <w:rPr>
          <w:sz w:val="20"/>
          <w:szCs w:val="20"/>
        </w:rPr>
        <w:t xml:space="preserve"> nach ca. drei Monaten).</w:t>
      </w:r>
    </w:p>
    <w:sectPr w:rsidR="00D65FEF" w:rsidSect="00B0101E">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EB3E7" w14:textId="77777777" w:rsidR="00A953EF" w:rsidRDefault="00A953EF">
      <w:r>
        <w:separator/>
      </w:r>
    </w:p>
  </w:endnote>
  <w:endnote w:type="continuationSeparator" w:id="0">
    <w:p w14:paraId="349E6CF0" w14:textId="77777777" w:rsidR="00A953EF" w:rsidRDefault="00A95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825B7" w14:textId="77777777" w:rsidR="00D65FEF" w:rsidRDefault="00000000">
    <w:pPr>
      <w:tabs>
        <w:tab w:val="right" w:pos="9026"/>
      </w:tabs>
    </w:pPr>
    <w:r>
      <w:rPr>
        <w:color w:val="57606A"/>
        <w:sz w:val="16"/>
        <w:szCs w:val="16"/>
      </w:rPr>
      <w:t>Positionspapier · KI und Informatikdidaktik</w:t>
    </w:r>
    <w:r>
      <w:rPr>
        <w:sz w:val="16"/>
        <w:szCs w:val="16"/>
      </w:rPr>
      <w:tab/>
    </w:r>
    <w:r>
      <w:rPr>
        <w:color w:val="57606A"/>
        <w:sz w:val="16"/>
        <w:szCs w:val="16"/>
      </w:rPr>
      <w:t xml:space="preserve">Seite </w:t>
    </w:r>
    <w:r>
      <w:rPr>
        <w:color w:val="57606A"/>
        <w:sz w:val="16"/>
        <w:szCs w:val="16"/>
      </w:rPr>
      <w:fldChar w:fldCharType="begin"/>
    </w:r>
    <w:r>
      <w:rPr>
        <w:color w:val="57606A"/>
        <w:sz w:val="16"/>
        <w:szCs w:val="16"/>
      </w:rPr>
      <w:instrText>PAGE</w:instrText>
    </w:r>
    <w:r>
      <w:rPr>
        <w:color w:val="57606A"/>
        <w:sz w:val="16"/>
        <w:szCs w:val="16"/>
      </w:rPr>
      <w:fldChar w:fldCharType="separate"/>
    </w:r>
    <w:r w:rsidR="00B0101E">
      <w:rPr>
        <w:noProof/>
        <w:color w:val="57606A"/>
        <w:sz w:val="16"/>
        <w:szCs w:val="16"/>
      </w:rPr>
      <w:t>1</w:t>
    </w:r>
    <w:r>
      <w:rPr>
        <w:color w:val="57606A"/>
        <w:sz w:val="16"/>
        <w:szCs w:val="16"/>
      </w:rPr>
      <w:fldChar w:fldCharType="end"/>
    </w:r>
    <w:r>
      <w:rPr>
        <w:color w:val="57606A"/>
        <w:sz w:val="16"/>
        <w:szCs w:val="16"/>
      </w:rPr>
      <w:t xml:space="preserve"> von </w:t>
    </w:r>
    <w:r>
      <w:rPr>
        <w:color w:val="57606A"/>
        <w:sz w:val="16"/>
        <w:szCs w:val="16"/>
      </w:rPr>
      <w:fldChar w:fldCharType="begin"/>
    </w:r>
    <w:r>
      <w:rPr>
        <w:color w:val="57606A"/>
        <w:sz w:val="16"/>
        <w:szCs w:val="16"/>
      </w:rPr>
      <w:instrText>NUMPAGES</w:instrText>
    </w:r>
    <w:r>
      <w:rPr>
        <w:color w:val="57606A"/>
        <w:sz w:val="16"/>
        <w:szCs w:val="16"/>
      </w:rPr>
      <w:fldChar w:fldCharType="separate"/>
    </w:r>
    <w:r w:rsidR="00B0101E">
      <w:rPr>
        <w:noProof/>
        <w:color w:val="57606A"/>
        <w:sz w:val="16"/>
        <w:szCs w:val="16"/>
      </w:rPr>
      <w:t>2</w:t>
    </w:r>
    <w:r>
      <w:rPr>
        <w:color w:val="5760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BD0B6" w14:textId="77777777" w:rsidR="00A953EF" w:rsidRDefault="00A953EF">
      <w:r>
        <w:separator/>
      </w:r>
    </w:p>
  </w:footnote>
  <w:footnote w:type="continuationSeparator" w:id="0">
    <w:p w14:paraId="0B43B719" w14:textId="77777777" w:rsidR="00A953EF" w:rsidRDefault="00A953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8684B"/>
    <w:multiLevelType w:val="hybridMultilevel"/>
    <w:tmpl w:val="9D5E9884"/>
    <w:lvl w:ilvl="0" w:tplc="68529778">
      <w:start w:val="1"/>
      <w:numFmt w:val="decimal"/>
      <w:lvlText w:val="%1."/>
      <w:lvlJc w:val="left"/>
      <w:pPr>
        <w:ind w:left="480" w:hanging="360"/>
      </w:pPr>
    </w:lvl>
    <w:lvl w:ilvl="1" w:tplc="6E0889F6">
      <w:numFmt w:val="decimal"/>
      <w:lvlText w:val=""/>
      <w:lvlJc w:val="left"/>
    </w:lvl>
    <w:lvl w:ilvl="2" w:tplc="0FC68C60">
      <w:numFmt w:val="decimal"/>
      <w:lvlText w:val=""/>
      <w:lvlJc w:val="left"/>
    </w:lvl>
    <w:lvl w:ilvl="3" w:tplc="C54A4F8C">
      <w:numFmt w:val="decimal"/>
      <w:lvlText w:val=""/>
      <w:lvlJc w:val="left"/>
    </w:lvl>
    <w:lvl w:ilvl="4" w:tplc="102CE512">
      <w:numFmt w:val="decimal"/>
      <w:lvlText w:val=""/>
      <w:lvlJc w:val="left"/>
    </w:lvl>
    <w:lvl w:ilvl="5" w:tplc="6EAC6068">
      <w:numFmt w:val="decimal"/>
      <w:lvlText w:val=""/>
      <w:lvlJc w:val="left"/>
    </w:lvl>
    <w:lvl w:ilvl="6" w:tplc="DE7CB6D4">
      <w:numFmt w:val="decimal"/>
      <w:lvlText w:val=""/>
      <w:lvlJc w:val="left"/>
    </w:lvl>
    <w:lvl w:ilvl="7" w:tplc="713C8BF8">
      <w:numFmt w:val="decimal"/>
      <w:lvlText w:val=""/>
      <w:lvlJc w:val="left"/>
    </w:lvl>
    <w:lvl w:ilvl="8" w:tplc="4C5A83FC">
      <w:numFmt w:val="decimal"/>
      <w:lvlText w:val=""/>
      <w:lvlJc w:val="left"/>
    </w:lvl>
  </w:abstractNum>
  <w:abstractNum w:abstractNumId="1" w15:restartNumberingAfterBreak="0">
    <w:nsid w:val="74B80B2A"/>
    <w:multiLevelType w:val="hybridMultilevel"/>
    <w:tmpl w:val="0B7E30AE"/>
    <w:lvl w:ilvl="0" w:tplc="FBD6D8F0">
      <w:start w:val="1"/>
      <w:numFmt w:val="bullet"/>
      <w:lvlText w:val="●"/>
      <w:lvlJc w:val="left"/>
      <w:pPr>
        <w:ind w:left="720" w:hanging="360"/>
      </w:pPr>
    </w:lvl>
    <w:lvl w:ilvl="1" w:tplc="2FD69636">
      <w:start w:val="1"/>
      <w:numFmt w:val="bullet"/>
      <w:lvlText w:val="○"/>
      <w:lvlJc w:val="left"/>
      <w:pPr>
        <w:ind w:left="1440" w:hanging="360"/>
      </w:pPr>
    </w:lvl>
    <w:lvl w:ilvl="2" w:tplc="3D0096CC">
      <w:start w:val="1"/>
      <w:numFmt w:val="bullet"/>
      <w:lvlText w:val="■"/>
      <w:lvlJc w:val="left"/>
      <w:pPr>
        <w:ind w:left="2160" w:hanging="360"/>
      </w:pPr>
    </w:lvl>
    <w:lvl w:ilvl="3" w:tplc="BD54ED7C">
      <w:start w:val="1"/>
      <w:numFmt w:val="bullet"/>
      <w:lvlText w:val="●"/>
      <w:lvlJc w:val="left"/>
      <w:pPr>
        <w:ind w:left="2880" w:hanging="360"/>
      </w:pPr>
    </w:lvl>
    <w:lvl w:ilvl="4" w:tplc="5A586562">
      <w:start w:val="1"/>
      <w:numFmt w:val="bullet"/>
      <w:lvlText w:val="○"/>
      <w:lvlJc w:val="left"/>
      <w:pPr>
        <w:ind w:left="3600" w:hanging="360"/>
      </w:pPr>
    </w:lvl>
    <w:lvl w:ilvl="5" w:tplc="DCFAEBF2">
      <w:start w:val="1"/>
      <w:numFmt w:val="bullet"/>
      <w:lvlText w:val="■"/>
      <w:lvlJc w:val="left"/>
      <w:pPr>
        <w:ind w:left="4320" w:hanging="360"/>
      </w:pPr>
    </w:lvl>
    <w:lvl w:ilvl="6" w:tplc="4F54D01E">
      <w:start w:val="1"/>
      <w:numFmt w:val="bullet"/>
      <w:lvlText w:val="●"/>
      <w:lvlJc w:val="left"/>
      <w:pPr>
        <w:ind w:left="5040" w:hanging="360"/>
      </w:pPr>
    </w:lvl>
    <w:lvl w:ilvl="7" w:tplc="97C870EE">
      <w:start w:val="1"/>
      <w:numFmt w:val="bullet"/>
      <w:lvlText w:val="●"/>
      <w:lvlJc w:val="left"/>
      <w:pPr>
        <w:ind w:left="5760" w:hanging="360"/>
      </w:pPr>
    </w:lvl>
    <w:lvl w:ilvl="8" w:tplc="B87E4D80">
      <w:start w:val="1"/>
      <w:numFmt w:val="bullet"/>
      <w:lvlText w:val="●"/>
      <w:lvlJc w:val="left"/>
      <w:pPr>
        <w:ind w:left="6480" w:hanging="360"/>
      </w:pPr>
    </w:lvl>
  </w:abstractNum>
  <w:abstractNum w:abstractNumId="2" w15:restartNumberingAfterBreak="0">
    <w:nsid w:val="78A94CEE"/>
    <w:multiLevelType w:val="hybridMultilevel"/>
    <w:tmpl w:val="338C0C20"/>
    <w:lvl w:ilvl="0" w:tplc="6DC2198E">
      <w:start w:val="1"/>
      <w:numFmt w:val="bullet"/>
      <w:lvlText w:val="–"/>
      <w:lvlJc w:val="left"/>
      <w:pPr>
        <w:ind w:left="420" w:hanging="300"/>
      </w:pPr>
    </w:lvl>
    <w:lvl w:ilvl="1" w:tplc="AE64E3CC">
      <w:numFmt w:val="decimal"/>
      <w:lvlText w:val=""/>
      <w:lvlJc w:val="left"/>
    </w:lvl>
    <w:lvl w:ilvl="2" w:tplc="88B87562">
      <w:numFmt w:val="decimal"/>
      <w:lvlText w:val=""/>
      <w:lvlJc w:val="left"/>
    </w:lvl>
    <w:lvl w:ilvl="3" w:tplc="D4AEA70E">
      <w:numFmt w:val="decimal"/>
      <w:lvlText w:val=""/>
      <w:lvlJc w:val="left"/>
    </w:lvl>
    <w:lvl w:ilvl="4" w:tplc="511ABA5E">
      <w:numFmt w:val="decimal"/>
      <w:lvlText w:val=""/>
      <w:lvlJc w:val="left"/>
    </w:lvl>
    <w:lvl w:ilvl="5" w:tplc="24C4D7AA">
      <w:numFmt w:val="decimal"/>
      <w:lvlText w:val=""/>
      <w:lvlJc w:val="left"/>
    </w:lvl>
    <w:lvl w:ilvl="6" w:tplc="46768E82">
      <w:numFmt w:val="decimal"/>
      <w:lvlText w:val=""/>
      <w:lvlJc w:val="left"/>
    </w:lvl>
    <w:lvl w:ilvl="7" w:tplc="8E746422">
      <w:numFmt w:val="decimal"/>
      <w:lvlText w:val=""/>
      <w:lvlJc w:val="left"/>
    </w:lvl>
    <w:lvl w:ilvl="8" w:tplc="F4167B4E">
      <w:numFmt w:val="decimal"/>
      <w:lvlText w:val=""/>
      <w:lvlJc w:val="left"/>
    </w:lvl>
  </w:abstractNum>
  <w:num w:numId="1" w16cid:durableId="430392740">
    <w:abstractNumId w:val="1"/>
    <w:lvlOverride w:ilvl="0">
      <w:startOverride w:val="1"/>
    </w:lvlOverride>
  </w:num>
  <w:num w:numId="2" w16cid:durableId="215824286">
    <w:abstractNumId w:val="0"/>
    <w:lvlOverride w:ilvl="0">
      <w:startOverride w:val="1"/>
    </w:lvlOverride>
  </w:num>
  <w:num w:numId="3" w16cid:durableId="1319934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FEF"/>
    <w:rsid w:val="00A953EF"/>
    <w:rsid w:val="00B0101E"/>
    <w:rsid w:val="00C12FC2"/>
    <w:rsid w:val="00D65F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15BF9"/>
  <w15:docId w15:val="{86EF7F3C-67E2-4567-B8CF-9BABE439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328"/>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1768</Words>
  <Characters>13108</Characters>
  <Application>Microsoft Office Word</Application>
  <DocSecurity>0</DocSecurity>
  <Lines>267</Lines>
  <Paragraphs>104</Paragraphs>
  <ScaleCrop>false</ScaleCrop>
  <Company/>
  <LinksUpToDate>false</LinksUpToDate>
  <CharactersWithSpaces>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2</cp:revision>
  <dcterms:created xsi:type="dcterms:W3CDTF">2026-07-12T19:25:00Z</dcterms:created>
  <dcterms:modified xsi:type="dcterms:W3CDTF">2026-07-16T13:12:00Z</dcterms:modified>
</cp:coreProperties>
</file>