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2413E" w14:textId="77777777" w:rsidR="006C03ED" w:rsidRDefault="00000000">
      <w:pPr>
        <w:spacing w:after="80"/>
      </w:pPr>
      <w:r>
        <w:rPr>
          <w:i/>
          <w:iCs/>
          <w:color w:val="666666"/>
          <w:sz w:val="20"/>
          <w:szCs w:val="20"/>
        </w:rPr>
        <w:t>Handreichung für Lehrkräfte</w:t>
      </w:r>
    </w:p>
    <w:p w14:paraId="2D3DA63D" w14:textId="77777777" w:rsidR="006C03ED" w:rsidRDefault="00000000">
      <w:pPr>
        <w:spacing w:after="40"/>
      </w:pPr>
      <w:r>
        <w:rPr>
          <w:b/>
          <w:bCs/>
          <w:color w:val="2B5C8A"/>
          <w:sz w:val="44"/>
          <w:szCs w:val="44"/>
        </w:rPr>
        <w:t>Vom Wort zur Antwort:</w:t>
      </w:r>
    </w:p>
    <w:p w14:paraId="311F4D46" w14:textId="55462FEE" w:rsidR="006C03ED" w:rsidRDefault="00000000">
      <w:pPr>
        <w:spacing w:after="80"/>
      </w:pPr>
      <w:r>
        <w:rPr>
          <w:b/>
          <w:bCs/>
          <w:color w:val="2B5C8A"/>
          <w:sz w:val="36"/>
          <w:szCs w:val="36"/>
        </w:rPr>
        <w:t>Wie ein Sprachmodell Schritt für Schritt arbeitet</w:t>
      </w:r>
    </w:p>
    <w:p w14:paraId="18E44B7A" w14:textId="39B3304C" w:rsidR="006C03ED" w:rsidRDefault="00957E06">
      <w:pPr>
        <w:pBdr>
          <w:bottom w:val="single" w:sz="6" w:space="8" w:color="2B5C8A"/>
        </w:pBdr>
        <w:spacing w:after="280"/>
      </w:pPr>
      <w:r>
        <w:rPr>
          <w:noProof/>
        </w:rPr>
        <w:drawing>
          <wp:anchor distT="0" distB="0" distL="114300" distR="114300" simplePos="0" relativeHeight="251658240" behindDoc="1" locked="0" layoutInCell="1" allowOverlap="1" wp14:anchorId="1C018669" wp14:editId="330CEA43">
            <wp:simplePos x="0" y="0"/>
            <wp:positionH relativeFrom="column">
              <wp:posOffset>3648710</wp:posOffset>
            </wp:positionH>
            <wp:positionV relativeFrom="paragraph">
              <wp:posOffset>459951</wp:posOffset>
            </wp:positionV>
            <wp:extent cx="3074035" cy="7178040"/>
            <wp:effectExtent l="0" t="0" r="0" b="0"/>
            <wp:wrapSquare wrapText="bothSides"/>
            <wp:docPr id="524954072"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54072" name="Picture 1" descr="A diagram of a work flow&#10;&#10;AI-generated content may be incorrect."/>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074035" cy="7178040"/>
                    </a:xfrm>
                    <a:prstGeom prst="rect">
                      <a:avLst/>
                    </a:prstGeom>
                  </pic:spPr>
                </pic:pic>
              </a:graphicData>
            </a:graphic>
            <wp14:sizeRelH relativeFrom="margin">
              <wp14:pctWidth>0</wp14:pctWidth>
            </wp14:sizeRelH>
            <wp14:sizeRelV relativeFrom="margin">
              <wp14:pctHeight>0</wp14:pctHeight>
            </wp14:sizeRelV>
          </wp:anchor>
        </w:drawing>
      </w:r>
      <w:r>
        <w:rPr>
          <w:color w:val="666666"/>
          <w:sz w:val="18"/>
          <w:szCs w:val="18"/>
        </w:rPr>
        <w:t>Roadmap-Übersicht für die KI-Fortbildungsreihe (Stufe 2)  ·  Begleitmaterial zu App und Arbeitsblättern</w:t>
      </w:r>
      <w:r>
        <w:rPr>
          <w:color w:val="666666"/>
          <w:sz w:val="18"/>
          <w:szCs w:val="18"/>
        </w:rPr>
        <w:br/>
      </w:r>
    </w:p>
    <w:p w14:paraId="7B3B3603" w14:textId="77777777" w:rsidR="00957E06" w:rsidRDefault="00957E06">
      <w:pPr>
        <w:pStyle w:val="Heading1"/>
      </w:pPr>
    </w:p>
    <w:p w14:paraId="09304105" w14:textId="29940C16" w:rsidR="006C03ED" w:rsidRDefault="00000000">
      <w:pPr>
        <w:pStyle w:val="Heading1"/>
      </w:pPr>
      <w:r>
        <w:t>Worum geht es?</w:t>
      </w:r>
    </w:p>
    <w:p w14:paraId="1B3B0B0D" w14:textId="1B0973EB" w:rsidR="006C03ED" w:rsidRDefault="00000000" w:rsidP="00957E06">
      <w:pPr>
        <w:spacing w:after="160" w:line="312" w:lineRule="auto"/>
      </w:pPr>
      <w:r>
        <w:t xml:space="preserve">Wenn Sie in ChatGPT eine Frage tippen und eine Antwort erhalten, passieren im Hintergrund mehrere klar unterscheidbare Schritte. Diese Handreichung zeigt den </w:t>
      </w:r>
      <w:r>
        <w:rPr>
          <w:b/>
          <w:bCs/>
        </w:rPr>
        <w:t>gesamten Weg vom eingegebenen Wort bis zur erzeugten Antwort</w:t>
      </w:r>
      <w:r>
        <w:t xml:space="preserve"> und ordnet ein, welche Teile davon in den Fortbildungsmaterialien behandelt werden.</w:t>
      </w:r>
    </w:p>
    <w:p w14:paraId="4323A7F9" w14:textId="28FF4DCD" w:rsidR="006C03ED" w:rsidRDefault="00000000" w:rsidP="00957E06">
      <w:pPr>
        <w:spacing w:after="160" w:line="312" w:lineRule="auto"/>
      </w:pPr>
      <w:r>
        <w:t xml:space="preserve">Das Ziel ist nicht, jedes technische Detail zu verstehen, sondern die </w:t>
      </w:r>
      <w:r>
        <w:rPr>
          <w:b/>
          <w:bCs/>
        </w:rPr>
        <w:t>Grundlogik</w:t>
      </w:r>
      <w:r>
        <w:t xml:space="preserve"> zu begreifen: Ein Sprachmodell ist im Kern eine </w:t>
      </w:r>
      <w:r>
        <w:rPr>
          <w:b/>
          <w:bCs/>
        </w:rPr>
        <w:t>Wort-für-Wort-Vorhersagemaschine</w:t>
      </w:r>
      <w:r>
        <w:t>, die auf raffinierten mathematischen Tricks beruht — und jeder dieser Tricks lässt sich im Prinzip nachvollziehen.</w:t>
      </w:r>
    </w:p>
    <w:p w14:paraId="36B38D6B" w14:textId="6221400F" w:rsidR="00957E06" w:rsidRDefault="00957E06" w:rsidP="00957E06">
      <w:pPr>
        <w:spacing w:line="312" w:lineRule="auto"/>
        <w:rPr>
          <w:b/>
          <w:bCs/>
          <w:color w:val="2B5C8A"/>
          <w:sz w:val="36"/>
          <w:szCs w:val="36"/>
        </w:rPr>
      </w:pPr>
    </w:p>
    <w:p w14:paraId="49EFC26A" w14:textId="4700FAD4" w:rsidR="006C03ED" w:rsidRPr="00080888" w:rsidRDefault="00000000" w:rsidP="00957E06">
      <w:pPr>
        <w:pStyle w:val="Heading1"/>
        <w:spacing w:line="312" w:lineRule="auto"/>
        <w:rPr>
          <w:sz w:val="32"/>
          <w:szCs w:val="32"/>
        </w:rPr>
      </w:pPr>
      <w:r w:rsidRPr="00080888">
        <w:rPr>
          <w:sz w:val="32"/>
          <w:szCs w:val="32"/>
        </w:rPr>
        <w:t>Die Pipeline: 5 Schritte zur Antwort</w:t>
      </w:r>
    </w:p>
    <w:p w14:paraId="0E0236E0" w14:textId="4A3542D4" w:rsidR="00957E06" w:rsidRDefault="00000000" w:rsidP="00957E06">
      <w:pPr>
        <w:spacing w:after="160" w:line="312" w:lineRule="auto"/>
      </w:pPr>
      <w:r>
        <w:t>Das folgende Diagramm zeigt die Verarbeitungsschritte eines modernen Sprachmodells (LLM) in vereinfachter Form. Die farbigen Markierungen zeigen, welcher Schritt in welchem Material behandelt wird.</w:t>
      </w:r>
    </w:p>
    <w:p w14:paraId="78518F43" w14:textId="77777777" w:rsidR="00957E06" w:rsidRDefault="00957E06">
      <w:r>
        <w:br w:type="page"/>
      </w:r>
    </w:p>
    <w:p w14:paraId="358F0165" w14:textId="77777777" w:rsidR="006C03ED" w:rsidRDefault="006C03ED" w:rsidP="00957E06">
      <w:pPr>
        <w:spacing w:after="160" w:line="312" w:lineRule="auto"/>
      </w:pPr>
    </w:p>
    <w:tbl>
      <w:tblPr>
        <w:tblpPr w:leftFromText="180" w:rightFromText="180" w:vertAnchor="text" w:horzAnchor="margin" w:tblpY="179"/>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9356"/>
      </w:tblGrid>
      <w:tr w:rsidR="00957E06" w14:paraId="592F58E1" w14:textId="77777777" w:rsidTr="00080888">
        <w:trPr>
          <w:trHeight w:val="1693"/>
        </w:trPr>
        <w:tc>
          <w:tcPr>
            <w:tcW w:w="704" w:type="dxa"/>
            <w:shd w:val="clear" w:color="auto" w:fill="7A7A7A"/>
            <w:tcMar>
              <w:top w:w="140" w:type="dxa"/>
              <w:left w:w="80" w:type="dxa"/>
              <w:bottom w:w="140" w:type="dxa"/>
              <w:right w:w="80" w:type="dxa"/>
            </w:tcMar>
            <w:vAlign w:val="center"/>
          </w:tcPr>
          <w:p w14:paraId="5C8087E6" w14:textId="77777777" w:rsidR="00957E06" w:rsidRDefault="00957E06" w:rsidP="00957E06">
            <w:pPr>
              <w:jc w:val="center"/>
            </w:pPr>
            <w:r>
              <w:rPr>
                <w:b/>
                <w:bCs/>
                <w:color w:val="FFFFFF"/>
                <w:sz w:val="36"/>
                <w:szCs w:val="36"/>
              </w:rPr>
              <w:t>1</w:t>
            </w:r>
          </w:p>
        </w:tc>
        <w:tc>
          <w:tcPr>
            <w:tcW w:w="9356" w:type="dxa"/>
            <w:shd w:val="clear" w:color="auto" w:fill="F5F5F5"/>
            <w:tcMar>
              <w:top w:w="120" w:type="dxa"/>
              <w:left w:w="180" w:type="dxa"/>
              <w:bottom w:w="120" w:type="dxa"/>
              <w:right w:w="160" w:type="dxa"/>
            </w:tcMar>
          </w:tcPr>
          <w:p w14:paraId="49EA5DF8" w14:textId="525CAC67" w:rsidR="00957E06" w:rsidRDefault="00957E06" w:rsidP="00957E06">
            <w:pPr>
              <w:spacing w:after="40"/>
            </w:pPr>
            <w:r>
              <w:rPr>
                <w:sz w:val="26"/>
                <w:szCs w:val="26"/>
              </w:rPr>
              <w:t xml:space="preserve"> </w:t>
            </w:r>
            <w:r>
              <w:rPr>
                <w:b/>
                <w:bCs/>
                <w:color w:val="7A7A7A"/>
                <w:sz w:val="26"/>
                <w:szCs w:val="26"/>
              </w:rPr>
              <w:t>Tokenisierung</w:t>
            </w:r>
            <w:r>
              <w:rPr>
                <w:color w:val="666666"/>
                <w:sz w:val="20"/>
                <w:szCs w:val="20"/>
              </w:rPr>
              <w:t xml:space="preserve">  —  Text wird in Stücke zerlegt</w:t>
            </w:r>
          </w:p>
          <w:p w14:paraId="3F23BDA6" w14:textId="293A99A0" w:rsidR="00957E06" w:rsidRDefault="00957E06" w:rsidP="00957E06">
            <w:r>
              <w:t xml:space="preserve">Der eingegebene Text wird in kleine Einheiten zerlegt — sogenannte </w:t>
            </w:r>
            <w:r>
              <w:rPr>
                <w:b/>
                <w:bCs/>
              </w:rPr>
              <w:t>Tokens</w:t>
            </w:r>
            <w:r>
              <w:t xml:space="preserve">. Ein Token ist oft ein Wort, kann aber auch ein Wortteil sein. </w:t>
            </w:r>
            <w:r>
              <w:br/>
            </w:r>
            <w:r>
              <w:br/>
              <w:t>Zum Beispiel wird „Eisverkäufer“ möglicherweise in „Eis“ + „verkäufer“ zerlegt. Jedes Token bekommt eine eindeutige Nummer (z. B. „Hund“ = 4827).</w:t>
            </w:r>
          </w:p>
        </w:tc>
      </w:tr>
    </w:tbl>
    <w:p w14:paraId="4D8A88F4" w14:textId="73520356" w:rsidR="00957E06" w:rsidRPr="00080888" w:rsidRDefault="00957E06" w:rsidP="00957E06">
      <w:pPr>
        <w:spacing w:before="120" w:after="120"/>
        <w:rPr>
          <w:color w:val="C0C0C0"/>
          <w:sz w:val="28"/>
          <w:szCs w:val="28"/>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360"/>
      </w:tblGrid>
      <w:tr w:rsidR="006C03ED" w14:paraId="2567CCB6" w14:textId="77777777" w:rsidTr="00080888">
        <w:tc>
          <w:tcPr>
            <w:tcW w:w="700" w:type="dxa"/>
            <w:shd w:val="clear" w:color="auto" w:fill="2B5C8A"/>
            <w:tcMar>
              <w:top w:w="140" w:type="dxa"/>
              <w:left w:w="80" w:type="dxa"/>
              <w:bottom w:w="140" w:type="dxa"/>
              <w:right w:w="80" w:type="dxa"/>
            </w:tcMar>
            <w:vAlign w:val="center"/>
          </w:tcPr>
          <w:p w14:paraId="29D4B41E" w14:textId="77777777" w:rsidR="006C03ED" w:rsidRDefault="00000000">
            <w:pPr>
              <w:jc w:val="center"/>
            </w:pPr>
            <w:r>
              <w:rPr>
                <w:b/>
                <w:bCs/>
                <w:color w:val="FFFFFF"/>
                <w:sz w:val="36"/>
                <w:szCs w:val="36"/>
              </w:rPr>
              <w:t>2</w:t>
            </w:r>
          </w:p>
        </w:tc>
        <w:tc>
          <w:tcPr>
            <w:tcW w:w="9360" w:type="dxa"/>
            <w:shd w:val="clear" w:color="auto" w:fill="E4EEF5"/>
            <w:tcMar>
              <w:top w:w="120" w:type="dxa"/>
              <w:left w:w="180" w:type="dxa"/>
              <w:bottom w:w="120" w:type="dxa"/>
              <w:right w:w="160" w:type="dxa"/>
            </w:tcMar>
          </w:tcPr>
          <w:p w14:paraId="600E9CBE" w14:textId="04FD838E" w:rsidR="006C03ED" w:rsidRDefault="00000000">
            <w:pPr>
              <w:spacing w:after="40"/>
            </w:pPr>
            <w:r>
              <w:rPr>
                <w:b/>
                <w:bCs/>
                <w:color w:val="2B5C8A"/>
                <w:sz w:val="26"/>
                <w:szCs w:val="26"/>
              </w:rPr>
              <w:t>Embedding</w:t>
            </w:r>
            <w:r>
              <w:rPr>
                <w:color w:val="666666"/>
                <w:sz w:val="20"/>
                <w:szCs w:val="20"/>
              </w:rPr>
              <w:t xml:space="preserve">  —  Jedes Token wird zum Zahlenvektor</w:t>
            </w:r>
          </w:p>
          <w:p w14:paraId="2BA0078E" w14:textId="77777777" w:rsidR="006C03ED" w:rsidRDefault="00000000">
            <w:pPr>
              <w:spacing w:after="80"/>
            </w:pPr>
            <w:r>
              <w:t xml:space="preserve">Jede Token-Nummer wird in einen </w:t>
            </w:r>
            <w:r>
              <w:rPr>
                <w:b/>
                <w:bCs/>
              </w:rPr>
              <w:t>Vektor aus vielen Zahlen</w:t>
            </w:r>
            <w:r>
              <w:t xml:space="preserve"> umgewandelt (in der App: 50 oder 100 Zahlen, bei echten Modellen: Tausende). Diese Zahlenliste kodiert die </w:t>
            </w:r>
            <w:r>
              <w:rPr>
                <w:b/>
                <w:bCs/>
              </w:rPr>
              <w:t>Bedeutung</w:t>
            </w:r>
            <w:r>
              <w:t xml:space="preserve"> des Wortes. Wörter mit ähnlicher Bedeutung haben ähnliche Zahlenmuster — deshalb liegen „Hund“ und „Katze“ im Vektorraum nah beieinander.</w:t>
            </w:r>
          </w:p>
          <w:p w14:paraId="354EA6F5" w14:textId="0CAC9549" w:rsidR="006C03ED" w:rsidRDefault="00000000">
            <w:r>
              <w:rPr>
                <w:b/>
                <w:bCs/>
                <w:i/>
                <w:iCs/>
                <w:color w:val="2B5C8A"/>
                <w:sz w:val="18"/>
                <w:szCs w:val="18"/>
              </w:rPr>
              <w:t>Material: App „Wörter im Vektorraum“ + Handreichung „Warum Analogien scheitern“</w:t>
            </w:r>
          </w:p>
        </w:tc>
      </w:tr>
    </w:tbl>
    <w:p w14:paraId="1A253571" w14:textId="77777777" w:rsidR="006C03ED" w:rsidRDefault="00000000" w:rsidP="00957E06">
      <w:pPr>
        <w:spacing w:before="120" w:after="120"/>
      </w:pPr>
      <w:r>
        <w:rPr>
          <w:color w:val="C0C0C0"/>
          <w:sz w:val="28"/>
          <w:szCs w:val="28"/>
        </w:rPr>
        <w:t>▼</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360"/>
      </w:tblGrid>
      <w:tr w:rsidR="006C03ED" w14:paraId="44A1A5F6" w14:textId="77777777" w:rsidTr="00080888">
        <w:tc>
          <w:tcPr>
            <w:tcW w:w="700" w:type="dxa"/>
            <w:shd w:val="clear" w:color="auto" w:fill="2E7D52"/>
            <w:tcMar>
              <w:top w:w="140" w:type="dxa"/>
              <w:left w:w="80" w:type="dxa"/>
              <w:bottom w:w="140" w:type="dxa"/>
              <w:right w:w="80" w:type="dxa"/>
            </w:tcMar>
            <w:vAlign w:val="center"/>
          </w:tcPr>
          <w:p w14:paraId="207FE2EE" w14:textId="77777777" w:rsidR="006C03ED" w:rsidRDefault="00000000">
            <w:pPr>
              <w:jc w:val="center"/>
            </w:pPr>
            <w:r>
              <w:rPr>
                <w:b/>
                <w:bCs/>
                <w:color w:val="FFFFFF"/>
                <w:sz w:val="36"/>
                <w:szCs w:val="36"/>
              </w:rPr>
              <w:t>3</w:t>
            </w:r>
          </w:p>
        </w:tc>
        <w:tc>
          <w:tcPr>
            <w:tcW w:w="9360" w:type="dxa"/>
            <w:shd w:val="clear" w:color="auto" w:fill="E3F2E9"/>
            <w:tcMar>
              <w:top w:w="120" w:type="dxa"/>
              <w:left w:w="180" w:type="dxa"/>
              <w:bottom w:w="120" w:type="dxa"/>
              <w:right w:w="160" w:type="dxa"/>
            </w:tcMar>
          </w:tcPr>
          <w:p w14:paraId="653184BF" w14:textId="18AA0EA2" w:rsidR="006C03ED" w:rsidRDefault="00000000">
            <w:pPr>
              <w:spacing w:after="40"/>
            </w:pPr>
            <w:r>
              <w:rPr>
                <w:b/>
                <w:bCs/>
                <w:color w:val="2E7D52"/>
                <w:sz w:val="26"/>
                <w:szCs w:val="26"/>
              </w:rPr>
              <w:t>Attention</w:t>
            </w:r>
            <w:r>
              <w:rPr>
                <w:color w:val="666666"/>
                <w:sz w:val="20"/>
                <w:szCs w:val="20"/>
              </w:rPr>
              <w:t xml:space="preserve">  —  Wörter „beachten“ einander</w:t>
            </w:r>
          </w:p>
          <w:p w14:paraId="37BE8DBF" w14:textId="77777777" w:rsidR="006C03ED" w:rsidRDefault="00000000">
            <w:pPr>
              <w:spacing w:after="80"/>
            </w:pPr>
            <w:r>
              <w:t xml:space="preserve">Jetzt passiert der entscheidende Schritt: Jedes Wort „schaut sich um“ und prüft, welche anderen Wörter im Satz für seine Bedeutung wichtig sind. Bei „Der Hund bellt, weil </w:t>
            </w:r>
            <w:r>
              <w:rPr>
                <w:b/>
                <w:bCs/>
              </w:rPr>
              <w:t>er</w:t>
            </w:r>
            <w:r>
              <w:t xml:space="preserve"> Angst hat“ muss das Modell erkennen, dass sich „er“ auf „Hund“ bezieht — nicht auf irgendetwas anderes. Dies geschieht über </w:t>
            </w:r>
            <w:r>
              <w:rPr>
                <w:b/>
                <w:bCs/>
              </w:rPr>
              <w:t>mehrere parallele Aufmerksamkeits-Köpfe</w:t>
            </w:r>
            <w:r>
              <w:t xml:space="preserve"> (Multi-Head Attention), die verschiedene Arten von Beziehungen gleichzeitig erkennen können.</w:t>
            </w:r>
          </w:p>
          <w:p w14:paraId="2450A39E" w14:textId="3A03909E" w:rsidR="006C03ED" w:rsidRDefault="00000000">
            <w:r>
              <w:rPr>
                <w:b/>
                <w:bCs/>
                <w:i/>
                <w:iCs/>
                <w:color w:val="2E7D52"/>
                <w:sz w:val="18"/>
                <w:szCs w:val="18"/>
              </w:rPr>
              <w:t>Material: Arbeitsblatt „Satzlücken-Orakel“,</w:t>
            </w:r>
            <w:r w:rsidR="00080888">
              <w:rPr>
                <w:b/>
                <w:bCs/>
                <w:i/>
                <w:iCs/>
                <w:color w:val="2E7D52"/>
                <w:sz w:val="18"/>
                <w:szCs w:val="18"/>
              </w:rPr>
              <w:t xml:space="preserve"> “Arbeitsblatt_Attention_I”, “Arbeitsblatt_Attention_II”</w:t>
            </w:r>
          </w:p>
        </w:tc>
      </w:tr>
    </w:tbl>
    <w:p w14:paraId="0868A5BD" w14:textId="77777777" w:rsidR="006C03ED" w:rsidRDefault="00000000" w:rsidP="00957E06">
      <w:pPr>
        <w:spacing w:before="120" w:after="120"/>
      </w:pPr>
      <w:r>
        <w:rPr>
          <w:color w:val="C0C0C0"/>
          <w:sz w:val="28"/>
          <w:szCs w:val="28"/>
        </w:rPr>
        <w:t>▼</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360"/>
      </w:tblGrid>
      <w:tr w:rsidR="006C03ED" w14:paraId="57D731CA" w14:textId="77777777" w:rsidTr="00080888">
        <w:tc>
          <w:tcPr>
            <w:tcW w:w="700" w:type="dxa"/>
            <w:shd w:val="clear" w:color="auto" w:fill="6B4C8A"/>
            <w:tcMar>
              <w:top w:w="140" w:type="dxa"/>
              <w:left w:w="80" w:type="dxa"/>
              <w:bottom w:w="140" w:type="dxa"/>
              <w:right w:w="80" w:type="dxa"/>
            </w:tcMar>
            <w:vAlign w:val="center"/>
          </w:tcPr>
          <w:p w14:paraId="31AAEF32" w14:textId="77777777" w:rsidR="006C03ED" w:rsidRDefault="00000000">
            <w:pPr>
              <w:jc w:val="center"/>
            </w:pPr>
            <w:r>
              <w:rPr>
                <w:b/>
                <w:bCs/>
                <w:color w:val="FFFFFF"/>
                <w:sz w:val="36"/>
                <w:szCs w:val="36"/>
              </w:rPr>
              <w:t>4</w:t>
            </w:r>
          </w:p>
        </w:tc>
        <w:tc>
          <w:tcPr>
            <w:tcW w:w="9360" w:type="dxa"/>
            <w:shd w:val="clear" w:color="auto" w:fill="F0E8F5"/>
            <w:tcMar>
              <w:top w:w="120" w:type="dxa"/>
              <w:left w:w="180" w:type="dxa"/>
              <w:bottom w:w="120" w:type="dxa"/>
              <w:right w:w="160" w:type="dxa"/>
            </w:tcMar>
          </w:tcPr>
          <w:p w14:paraId="05A71919" w14:textId="5470364B" w:rsidR="006C03ED" w:rsidRDefault="00000000">
            <w:pPr>
              <w:spacing w:after="40"/>
            </w:pPr>
            <w:r>
              <w:rPr>
                <w:b/>
                <w:bCs/>
                <w:color w:val="6B4C8A"/>
                <w:sz w:val="26"/>
                <w:szCs w:val="26"/>
              </w:rPr>
              <w:t>Verarbeitung in Schichten</w:t>
            </w:r>
            <w:r>
              <w:rPr>
                <w:color w:val="666666"/>
                <w:sz w:val="20"/>
                <w:szCs w:val="20"/>
              </w:rPr>
              <w:t xml:space="preserve">  —  Attention und Berechnung wiederholen sich</w:t>
            </w:r>
          </w:p>
          <w:p w14:paraId="767A95F1" w14:textId="77777777" w:rsidR="006C03ED" w:rsidRDefault="00000000">
            <w:r>
              <w:t xml:space="preserve">Die Schritte Attention und anschließende Berechnung wiederholen sich in </w:t>
            </w:r>
            <w:r>
              <w:rPr>
                <w:b/>
                <w:bCs/>
              </w:rPr>
              <w:t>vielen aufeinanderfolgenden Schichten</w:t>
            </w:r>
            <w:r>
              <w:t xml:space="preserve"> (bei GPT-4: fast 100 Schichten). Jede Schicht verfeinert das Verständnis: Frühe Schichten erkennen einfache Muster (Grammatik, Wortnähe), spätere Schichten erfassen komplexere Zusammenhänge (Ironie, logische Schlüsse, Weltwissen).</w:t>
            </w:r>
          </w:p>
        </w:tc>
      </w:tr>
    </w:tbl>
    <w:p w14:paraId="759DFA28" w14:textId="77777777" w:rsidR="006C03ED" w:rsidRDefault="00000000" w:rsidP="00957E06">
      <w:pPr>
        <w:spacing w:before="120" w:after="120"/>
      </w:pPr>
      <w:r>
        <w:rPr>
          <w:color w:val="C0C0C0"/>
          <w:sz w:val="28"/>
          <w:szCs w:val="28"/>
        </w:rPr>
        <w:t>▼</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360"/>
      </w:tblGrid>
      <w:tr w:rsidR="006C03ED" w14:paraId="5C141E5F" w14:textId="77777777" w:rsidTr="00080888">
        <w:tc>
          <w:tcPr>
            <w:tcW w:w="700" w:type="dxa"/>
            <w:shd w:val="clear" w:color="auto" w:fill="C27A24"/>
            <w:tcMar>
              <w:top w:w="140" w:type="dxa"/>
              <w:left w:w="80" w:type="dxa"/>
              <w:bottom w:w="140" w:type="dxa"/>
              <w:right w:w="80" w:type="dxa"/>
            </w:tcMar>
            <w:vAlign w:val="center"/>
          </w:tcPr>
          <w:p w14:paraId="4892C053" w14:textId="77777777" w:rsidR="006C03ED" w:rsidRDefault="00000000">
            <w:pPr>
              <w:jc w:val="center"/>
            </w:pPr>
            <w:r>
              <w:rPr>
                <w:b/>
                <w:bCs/>
                <w:color w:val="FFFFFF"/>
                <w:sz w:val="36"/>
                <w:szCs w:val="36"/>
              </w:rPr>
              <w:t>5</w:t>
            </w:r>
          </w:p>
        </w:tc>
        <w:tc>
          <w:tcPr>
            <w:tcW w:w="9360" w:type="dxa"/>
            <w:shd w:val="clear" w:color="auto" w:fill="FDF3E5"/>
            <w:tcMar>
              <w:top w:w="120" w:type="dxa"/>
              <w:left w:w="180" w:type="dxa"/>
              <w:bottom w:w="120" w:type="dxa"/>
              <w:right w:w="160" w:type="dxa"/>
            </w:tcMar>
          </w:tcPr>
          <w:p w14:paraId="40E90A4B" w14:textId="6FDFCEA2" w:rsidR="006C03ED" w:rsidRDefault="00000000">
            <w:pPr>
              <w:spacing w:after="40"/>
            </w:pPr>
            <w:r>
              <w:rPr>
                <w:b/>
                <w:bCs/>
                <w:color w:val="C27A24"/>
                <w:sz w:val="26"/>
                <w:szCs w:val="26"/>
              </w:rPr>
              <w:t>Vorhersage</w:t>
            </w:r>
            <w:r>
              <w:rPr>
                <w:color w:val="666666"/>
                <w:sz w:val="20"/>
                <w:szCs w:val="20"/>
              </w:rPr>
              <w:t xml:space="preserve">  —  Das nächste Wort wird ausgewählt</w:t>
            </w:r>
          </w:p>
          <w:p w14:paraId="473CA66E" w14:textId="77777777" w:rsidR="006C03ED" w:rsidRDefault="00000000">
            <w:pPr>
              <w:spacing w:after="80"/>
            </w:pPr>
            <w:r>
              <w:t xml:space="preserve">Am Ende steht eine </w:t>
            </w:r>
            <w:r>
              <w:rPr>
                <w:b/>
                <w:bCs/>
              </w:rPr>
              <w:t>Wahrscheinlichkeitsverteilung über alle möglichen nächsten Wörter</w:t>
            </w:r>
            <w:r>
              <w:t xml:space="preserve">. Das Modell sagt z. B.: „Nach ›Im Winter fällt weißer‹ kommt mit 72 % ›Schnee‹, mit 8 % ›Regen‹, mit 3 % ›Hagel‹ …“. Dann wird ein Wort ausgewählt, an den Text angehängt — und </w:t>
            </w:r>
            <w:r>
              <w:rPr>
                <w:b/>
                <w:bCs/>
              </w:rPr>
              <w:t>der gesamte Prozess beginnt von vorne</w:t>
            </w:r>
            <w:r>
              <w:t>, bis die Antwort fertig ist.</w:t>
            </w:r>
          </w:p>
          <w:p w14:paraId="7CC992DD" w14:textId="77777777" w:rsidR="006C03ED" w:rsidRDefault="00000000">
            <w:r>
              <w:rPr>
                <w:b/>
                <w:bCs/>
                <w:i/>
                <w:iCs/>
                <w:color w:val="C27A24"/>
                <w:sz w:val="18"/>
                <w:szCs w:val="18"/>
              </w:rPr>
              <w:t>U0001F4CE Material: Arbeitsblatt „Satzlücken-Orakel“, Blöcke A–C</w:t>
            </w:r>
          </w:p>
        </w:tc>
      </w:tr>
    </w:tbl>
    <w:p w14:paraId="0ADE068B" w14:textId="77777777" w:rsidR="006C03ED" w:rsidRDefault="006C03ED">
      <w:pPr>
        <w:spacing w:before="200"/>
      </w:pPr>
    </w:p>
    <w:tbl>
      <w:tblPr>
        <w:tblW w:w="10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867"/>
      </w:tblGrid>
      <w:tr w:rsidR="006C03ED" w14:paraId="7DCA0B5B" w14:textId="77777777" w:rsidTr="00080888">
        <w:tc>
          <w:tcPr>
            <w:tcW w:w="180" w:type="dxa"/>
            <w:tcBorders>
              <w:left w:val="single" w:sz="14" w:space="0" w:color="2B5C8A"/>
            </w:tcBorders>
            <w:shd w:val="clear" w:color="auto" w:fill="E4EEF5"/>
            <w:tcMar>
              <w:top w:w="40" w:type="dxa"/>
              <w:left w:w="60" w:type="dxa"/>
              <w:bottom w:w="40" w:type="dxa"/>
              <w:right w:w="0" w:type="dxa"/>
            </w:tcMar>
          </w:tcPr>
          <w:p w14:paraId="02ADC8C8" w14:textId="77777777" w:rsidR="006C03ED" w:rsidRDefault="006C03ED"/>
        </w:tc>
        <w:tc>
          <w:tcPr>
            <w:tcW w:w="9867" w:type="dxa"/>
            <w:shd w:val="clear" w:color="auto" w:fill="E4EEF5"/>
            <w:tcMar>
              <w:top w:w="120" w:type="dxa"/>
              <w:left w:w="140" w:type="dxa"/>
              <w:bottom w:w="120" w:type="dxa"/>
              <w:right w:w="160" w:type="dxa"/>
            </w:tcMar>
          </w:tcPr>
          <w:p w14:paraId="5FFC62AB" w14:textId="77777777" w:rsidR="006C03ED" w:rsidRDefault="00000000">
            <w:pPr>
              <w:spacing w:after="80"/>
            </w:pPr>
            <w:r>
              <w:rPr>
                <w:b/>
                <w:bCs/>
                <w:color w:val="2B5C8A"/>
              </w:rPr>
              <w:t>Die Schleife: So entsteht ein ganzer Text</w:t>
            </w:r>
          </w:p>
          <w:p w14:paraId="706214EF" w14:textId="5BCB3F4B" w:rsidR="006C03ED" w:rsidRDefault="00000000">
            <w:r>
              <w:t xml:space="preserve">Ein Sprachmodell erzeugt </w:t>
            </w:r>
            <w:r>
              <w:rPr>
                <w:b/>
                <w:bCs/>
              </w:rPr>
              <w:t>immer nur ein einziges Wort auf einmal</w:t>
            </w:r>
            <w:r>
              <w:t>. Um einen ganzen Satz zu schreiben, wiederholt es die Schritte 1–5 für jedes neue Wort: Das gerade erzeugte Wort wird an die Eingabe angehängt, und alles läuft erneut durch</w:t>
            </w:r>
            <w:r w:rsidR="00957E06">
              <w:t>.</w:t>
            </w:r>
          </w:p>
        </w:tc>
      </w:tr>
    </w:tbl>
    <w:p w14:paraId="0CC2DE8E" w14:textId="77777777" w:rsidR="006C03ED" w:rsidRDefault="00000000">
      <w:pPr>
        <w:pStyle w:val="Heading1"/>
      </w:pPr>
      <w:r>
        <w:lastRenderedPageBreak/>
        <w:t>Welches Material behandelt welchen Schritt?</w:t>
      </w:r>
    </w:p>
    <w:p w14:paraId="2AE09274" w14:textId="77777777" w:rsidR="006C03ED" w:rsidRDefault="00000000">
      <w:pPr>
        <w:spacing w:after="160"/>
      </w:pPr>
      <w:r>
        <w:t>Die folgende Übersicht zeigt, wie die vorhandenen Materialien den einzelnen Pipeline-Schritten zugeordnet sind:</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19"/>
        <w:gridCol w:w="3685"/>
        <w:gridCol w:w="1843"/>
      </w:tblGrid>
      <w:tr w:rsidR="006C03ED" w14:paraId="6893DA0F" w14:textId="77777777" w:rsidTr="00080888">
        <w:trPr>
          <w:tblHeader/>
        </w:trPr>
        <w:tc>
          <w:tcPr>
            <w:tcW w:w="1700" w:type="dxa"/>
            <w:tcBorders>
              <w:top w:val="single" w:sz="1" w:space="0" w:color="C0C0C0"/>
              <w:left w:val="single" w:sz="1" w:space="0" w:color="C0C0C0"/>
              <w:bottom w:val="single" w:sz="1" w:space="0" w:color="C0C0C0"/>
              <w:right w:val="single" w:sz="1" w:space="0" w:color="C0C0C0"/>
            </w:tcBorders>
            <w:shd w:val="clear" w:color="auto" w:fill="2B5C8A"/>
            <w:tcMar>
              <w:top w:w="80" w:type="dxa"/>
              <w:left w:w="120" w:type="dxa"/>
              <w:bottom w:w="80" w:type="dxa"/>
              <w:right w:w="120" w:type="dxa"/>
            </w:tcMar>
          </w:tcPr>
          <w:p w14:paraId="045F2DB5" w14:textId="77777777" w:rsidR="006C03ED" w:rsidRDefault="00000000">
            <w:r>
              <w:rPr>
                <w:b/>
                <w:bCs/>
                <w:color w:val="FFFFFF"/>
                <w:sz w:val="20"/>
                <w:szCs w:val="20"/>
              </w:rPr>
              <w:t>Schritt</w:t>
            </w:r>
          </w:p>
        </w:tc>
        <w:tc>
          <w:tcPr>
            <w:tcW w:w="3119" w:type="dxa"/>
            <w:tcBorders>
              <w:top w:val="single" w:sz="1" w:space="0" w:color="C0C0C0"/>
              <w:left w:val="single" w:sz="1" w:space="0" w:color="C0C0C0"/>
              <w:bottom w:val="single" w:sz="1" w:space="0" w:color="C0C0C0"/>
              <w:right w:val="single" w:sz="1" w:space="0" w:color="C0C0C0"/>
            </w:tcBorders>
            <w:shd w:val="clear" w:color="auto" w:fill="2B5C8A"/>
            <w:tcMar>
              <w:top w:w="80" w:type="dxa"/>
              <w:left w:w="120" w:type="dxa"/>
              <w:bottom w:w="80" w:type="dxa"/>
              <w:right w:w="120" w:type="dxa"/>
            </w:tcMar>
          </w:tcPr>
          <w:p w14:paraId="526929C2" w14:textId="77777777" w:rsidR="006C03ED" w:rsidRDefault="00000000">
            <w:r>
              <w:rPr>
                <w:b/>
                <w:bCs/>
                <w:color w:val="FFFFFF"/>
                <w:sz w:val="20"/>
                <w:szCs w:val="20"/>
              </w:rPr>
              <w:t>Material</w:t>
            </w:r>
          </w:p>
        </w:tc>
        <w:tc>
          <w:tcPr>
            <w:tcW w:w="3685" w:type="dxa"/>
            <w:tcBorders>
              <w:top w:val="single" w:sz="1" w:space="0" w:color="C0C0C0"/>
              <w:left w:val="single" w:sz="1" w:space="0" w:color="C0C0C0"/>
              <w:bottom w:val="single" w:sz="1" w:space="0" w:color="C0C0C0"/>
              <w:right w:val="single" w:sz="1" w:space="0" w:color="C0C0C0"/>
            </w:tcBorders>
            <w:shd w:val="clear" w:color="auto" w:fill="2B5C8A"/>
            <w:tcMar>
              <w:top w:w="80" w:type="dxa"/>
              <w:left w:w="120" w:type="dxa"/>
              <w:bottom w:w="80" w:type="dxa"/>
              <w:right w:w="120" w:type="dxa"/>
            </w:tcMar>
          </w:tcPr>
          <w:p w14:paraId="2773C960" w14:textId="77777777" w:rsidR="006C03ED" w:rsidRDefault="00000000">
            <w:r>
              <w:rPr>
                <w:b/>
                <w:bCs/>
                <w:color w:val="FFFFFF"/>
                <w:sz w:val="20"/>
                <w:szCs w:val="20"/>
              </w:rPr>
              <w:t>Lernziel</w:t>
            </w:r>
          </w:p>
        </w:tc>
        <w:tc>
          <w:tcPr>
            <w:tcW w:w="1843" w:type="dxa"/>
            <w:tcBorders>
              <w:top w:val="single" w:sz="1" w:space="0" w:color="C0C0C0"/>
              <w:left w:val="single" w:sz="1" w:space="0" w:color="C0C0C0"/>
              <w:bottom w:val="single" w:sz="1" w:space="0" w:color="C0C0C0"/>
              <w:right w:val="single" w:sz="1" w:space="0" w:color="C0C0C0"/>
            </w:tcBorders>
            <w:shd w:val="clear" w:color="auto" w:fill="2B5C8A"/>
            <w:tcMar>
              <w:top w:w="80" w:type="dxa"/>
              <w:left w:w="120" w:type="dxa"/>
              <w:bottom w:w="80" w:type="dxa"/>
              <w:right w:w="120" w:type="dxa"/>
            </w:tcMar>
          </w:tcPr>
          <w:p w14:paraId="20012FCF" w14:textId="77777777" w:rsidR="006C03ED" w:rsidRDefault="00000000">
            <w:r>
              <w:rPr>
                <w:b/>
                <w:bCs/>
                <w:color w:val="FFFFFF"/>
                <w:sz w:val="20"/>
                <w:szCs w:val="20"/>
              </w:rPr>
              <w:t>Sozialform</w:t>
            </w:r>
          </w:p>
        </w:tc>
      </w:tr>
      <w:tr w:rsidR="006C03ED" w14:paraId="610ABE33" w14:textId="77777777" w:rsidTr="00080888">
        <w:tc>
          <w:tcPr>
            <w:tcW w:w="1700" w:type="dxa"/>
            <w:tcBorders>
              <w:top w:val="single" w:sz="1" w:space="0" w:color="C0C0C0"/>
              <w:left w:val="single" w:sz="1" w:space="0" w:color="C0C0C0"/>
              <w:bottom w:val="single" w:sz="1" w:space="0" w:color="C0C0C0"/>
              <w:right w:val="single" w:sz="1" w:space="0" w:color="C0C0C0"/>
            </w:tcBorders>
            <w:shd w:val="clear" w:color="auto" w:fill="E4EEF5"/>
            <w:tcMar>
              <w:top w:w="80" w:type="dxa"/>
              <w:left w:w="120" w:type="dxa"/>
              <w:bottom w:w="80" w:type="dxa"/>
              <w:right w:w="120" w:type="dxa"/>
            </w:tcMar>
          </w:tcPr>
          <w:p w14:paraId="0B2164B1" w14:textId="77777777" w:rsidR="006C03ED" w:rsidRDefault="00000000">
            <w:r>
              <w:rPr>
                <w:b/>
                <w:bCs/>
                <w:sz w:val="19"/>
                <w:szCs w:val="19"/>
              </w:rPr>
              <w:t>2 – Embedding</w:t>
            </w:r>
          </w:p>
        </w:tc>
        <w:tc>
          <w:tcPr>
            <w:tcW w:w="3119"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B209BB7" w14:textId="77777777" w:rsidR="006C03ED" w:rsidRDefault="00000000">
            <w:r>
              <w:rPr>
                <w:sz w:val="20"/>
                <w:szCs w:val="20"/>
              </w:rPr>
              <w:t>App „Wörter im Vektorraum“ (Modus: Wort-Detektiv, Analogie-Labor, Wort-Karte)</w:t>
            </w:r>
          </w:p>
        </w:tc>
        <w:tc>
          <w:tcPr>
            <w:tcW w:w="3685"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D0284E9" w14:textId="77777777" w:rsidR="006C03ED" w:rsidRDefault="00000000">
            <w:r>
              <w:rPr>
                <w:sz w:val="20"/>
                <w:szCs w:val="20"/>
              </w:rPr>
              <w:t>Wörter sind Zahlenvektoren; ähnliche Bedeutung = ähnliche Zahlen</w:t>
            </w:r>
          </w:p>
        </w:tc>
        <w:tc>
          <w:tcPr>
            <w:tcW w:w="1843"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4B1B8C8" w14:textId="77777777" w:rsidR="006C03ED" w:rsidRDefault="00000000">
            <w:r>
              <w:rPr>
                <w:sz w:val="20"/>
                <w:szCs w:val="20"/>
              </w:rPr>
              <w:t>Einzelarbeit / Plenum</w:t>
            </w:r>
          </w:p>
        </w:tc>
      </w:tr>
      <w:tr w:rsidR="006C03ED" w14:paraId="0BD1CCFA" w14:textId="77777777" w:rsidTr="00080888">
        <w:tc>
          <w:tcPr>
            <w:tcW w:w="1700" w:type="dxa"/>
            <w:tcBorders>
              <w:top w:val="single" w:sz="1" w:space="0" w:color="C0C0C0"/>
              <w:left w:val="single" w:sz="1" w:space="0" w:color="C0C0C0"/>
              <w:bottom w:val="single" w:sz="1" w:space="0" w:color="C0C0C0"/>
              <w:right w:val="single" w:sz="1" w:space="0" w:color="C0C0C0"/>
            </w:tcBorders>
            <w:shd w:val="clear" w:color="auto" w:fill="E4EEF5"/>
            <w:tcMar>
              <w:top w:w="80" w:type="dxa"/>
              <w:left w:w="120" w:type="dxa"/>
              <w:bottom w:w="80" w:type="dxa"/>
              <w:right w:w="120" w:type="dxa"/>
            </w:tcMar>
          </w:tcPr>
          <w:p w14:paraId="742F99CB" w14:textId="77777777" w:rsidR="006C03ED" w:rsidRDefault="00000000">
            <w:r>
              <w:rPr>
                <w:b/>
                <w:bCs/>
                <w:sz w:val="19"/>
                <w:szCs w:val="19"/>
              </w:rPr>
              <w:t>2 – Embedding</w:t>
            </w:r>
          </w:p>
        </w:tc>
        <w:tc>
          <w:tcPr>
            <w:tcW w:w="3119"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12BF6D5" w14:textId="77777777" w:rsidR="006C03ED" w:rsidRDefault="00000000">
            <w:r>
              <w:rPr>
                <w:sz w:val="20"/>
                <w:szCs w:val="20"/>
              </w:rPr>
              <w:t>Handreichung „Warum Analogien scheitern“</w:t>
            </w:r>
          </w:p>
        </w:tc>
        <w:tc>
          <w:tcPr>
            <w:tcW w:w="3685"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EA92D68" w14:textId="77777777" w:rsidR="006C03ED" w:rsidRDefault="00000000">
            <w:r>
              <w:rPr>
                <w:sz w:val="20"/>
                <w:szCs w:val="20"/>
              </w:rPr>
              <w:t>Grenzen von Embeddings verstehen; Polysemie erkennen</w:t>
            </w:r>
          </w:p>
        </w:tc>
        <w:tc>
          <w:tcPr>
            <w:tcW w:w="1843"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B3FDB6D" w14:textId="77777777" w:rsidR="006C03ED" w:rsidRDefault="00000000">
            <w:r>
              <w:rPr>
                <w:sz w:val="20"/>
                <w:szCs w:val="20"/>
              </w:rPr>
              <w:t>Lehrkraft-Hintergrund</w:t>
            </w:r>
          </w:p>
        </w:tc>
      </w:tr>
      <w:tr w:rsidR="006C03ED" w14:paraId="1AA30DEA" w14:textId="77777777" w:rsidTr="00080888">
        <w:tc>
          <w:tcPr>
            <w:tcW w:w="1700" w:type="dxa"/>
            <w:tcBorders>
              <w:top w:val="single" w:sz="1" w:space="0" w:color="C0C0C0"/>
              <w:left w:val="single" w:sz="1" w:space="0" w:color="C0C0C0"/>
              <w:bottom w:val="single" w:sz="1" w:space="0" w:color="C0C0C0"/>
              <w:right w:val="single" w:sz="1" w:space="0" w:color="C0C0C0"/>
            </w:tcBorders>
            <w:shd w:val="clear" w:color="auto" w:fill="E3F2E9"/>
            <w:tcMar>
              <w:top w:w="80" w:type="dxa"/>
              <w:left w:w="120" w:type="dxa"/>
              <w:bottom w:w="80" w:type="dxa"/>
              <w:right w:w="120" w:type="dxa"/>
            </w:tcMar>
          </w:tcPr>
          <w:p w14:paraId="0AB14759" w14:textId="77777777" w:rsidR="006C03ED" w:rsidRDefault="00000000">
            <w:r>
              <w:rPr>
                <w:b/>
                <w:bCs/>
                <w:sz w:val="19"/>
                <w:szCs w:val="19"/>
              </w:rPr>
              <w:t>3 – Attention</w:t>
            </w:r>
          </w:p>
        </w:tc>
        <w:tc>
          <w:tcPr>
            <w:tcW w:w="3119"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E0AE178" w14:textId="225D7567" w:rsidR="006C03ED" w:rsidRDefault="00000000">
            <w:r>
              <w:rPr>
                <w:sz w:val="20"/>
                <w:szCs w:val="20"/>
              </w:rPr>
              <w:t>Arbeitsblatt „Satzlücken-Orakel“,</w:t>
            </w:r>
            <w:r w:rsidR="00080888">
              <w:rPr>
                <w:sz w:val="20"/>
                <w:szCs w:val="20"/>
              </w:rPr>
              <w:t xml:space="preserve"> “</w:t>
            </w:r>
            <w:r w:rsidR="00080888" w:rsidRPr="00080888">
              <w:rPr>
                <w:sz w:val="20"/>
                <w:szCs w:val="20"/>
              </w:rPr>
              <w:t>Arbeitsblatt_Attention_I”, “Arbeitsblatt_Attention_II”</w:t>
            </w:r>
            <w:r>
              <w:rPr>
                <w:sz w:val="20"/>
                <w:szCs w:val="20"/>
              </w:rPr>
              <w:t xml:space="preserve"> </w:t>
            </w:r>
          </w:p>
        </w:tc>
        <w:tc>
          <w:tcPr>
            <w:tcW w:w="3685"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278A505" w14:textId="77777777" w:rsidR="006C03ED" w:rsidRDefault="00000000">
            <w:r>
              <w:rPr>
                <w:sz w:val="20"/>
                <w:szCs w:val="20"/>
              </w:rPr>
              <w:t>Wortbezüge erkennen; verstehen, warum Kontext entscheidend ist</w:t>
            </w:r>
          </w:p>
        </w:tc>
        <w:tc>
          <w:tcPr>
            <w:tcW w:w="1843"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95F5DED" w14:textId="77777777" w:rsidR="006C03ED" w:rsidRDefault="00000000">
            <w:r>
              <w:rPr>
                <w:sz w:val="20"/>
                <w:szCs w:val="20"/>
              </w:rPr>
              <w:t>Partnerarbeit</w:t>
            </w:r>
          </w:p>
        </w:tc>
      </w:tr>
      <w:tr w:rsidR="006C03ED" w14:paraId="36FA6055" w14:textId="77777777" w:rsidTr="00080888">
        <w:tc>
          <w:tcPr>
            <w:tcW w:w="1700" w:type="dxa"/>
            <w:tcBorders>
              <w:top w:val="single" w:sz="1" w:space="0" w:color="C0C0C0"/>
              <w:left w:val="single" w:sz="1" w:space="0" w:color="C0C0C0"/>
              <w:bottom w:val="single" w:sz="1" w:space="0" w:color="C0C0C0"/>
              <w:right w:val="single" w:sz="1" w:space="0" w:color="C0C0C0"/>
            </w:tcBorders>
            <w:shd w:val="clear" w:color="auto" w:fill="FDF3E5"/>
            <w:tcMar>
              <w:top w:w="80" w:type="dxa"/>
              <w:left w:w="120" w:type="dxa"/>
              <w:bottom w:w="80" w:type="dxa"/>
              <w:right w:w="120" w:type="dxa"/>
            </w:tcMar>
          </w:tcPr>
          <w:p w14:paraId="7C59820D" w14:textId="77777777" w:rsidR="006C03ED" w:rsidRDefault="00000000">
            <w:r>
              <w:rPr>
                <w:b/>
                <w:bCs/>
                <w:sz w:val="19"/>
                <w:szCs w:val="19"/>
              </w:rPr>
              <w:t>5 – Vorhersage</w:t>
            </w:r>
          </w:p>
        </w:tc>
        <w:tc>
          <w:tcPr>
            <w:tcW w:w="3119"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0DF27D5" w14:textId="2854FBE7" w:rsidR="006C03ED" w:rsidRDefault="00000000">
            <w:r>
              <w:rPr>
                <w:sz w:val="20"/>
                <w:szCs w:val="20"/>
              </w:rPr>
              <w:t xml:space="preserve">Arbeitsblatt „Satzlücken-Orakel“, </w:t>
            </w:r>
          </w:p>
        </w:tc>
        <w:tc>
          <w:tcPr>
            <w:tcW w:w="3685"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C07DAA3" w14:textId="77777777" w:rsidR="006C03ED" w:rsidRDefault="00000000">
            <w:r>
              <w:rPr>
                <w:sz w:val="20"/>
                <w:szCs w:val="20"/>
              </w:rPr>
              <w:t>Next-Token-Prediction intuitiv erleben</w:t>
            </w:r>
          </w:p>
        </w:tc>
        <w:tc>
          <w:tcPr>
            <w:tcW w:w="1843"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45B8B43" w14:textId="77777777" w:rsidR="006C03ED" w:rsidRDefault="00000000">
            <w:r>
              <w:rPr>
                <w:sz w:val="20"/>
                <w:szCs w:val="20"/>
              </w:rPr>
              <w:t>Einzel / Klasse</w:t>
            </w:r>
          </w:p>
        </w:tc>
      </w:tr>
    </w:tbl>
    <w:p w14:paraId="3E4E724C" w14:textId="77777777" w:rsidR="006C03ED" w:rsidRDefault="006C03ED">
      <w:pPr>
        <w:spacing w:before="200"/>
      </w:pP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10150"/>
      </w:tblGrid>
      <w:tr w:rsidR="006C03ED" w14:paraId="7C15A038" w14:textId="77777777" w:rsidTr="00080888">
        <w:tc>
          <w:tcPr>
            <w:tcW w:w="180" w:type="dxa"/>
            <w:tcBorders>
              <w:left w:val="single" w:sz="14" w:space="0" w:color="7A7A7A"/>
            </w:tcBorders>
            <w:shd w:val="clear" w:color="auto" w:fill="F2F0EC"/>
            <w:tcMar>
              <w:top w:w="40" w:type="dxa"/>
              <w:left w:w="60" w:type="dxa"/>
              <w:bottom w:w="40" w:type="dxa"/>
              <w:right w:w="0" w:type="dxa"/>
            </w:tcMar>
          </w:tcPr>
          <w:p w14:paraId="6283AA25" w14:textId="77777777" w:rsidR="006C03ED" w:rsidRDefault="006C03ED"/>
        </w:tc>
        <w:tc>
          <w:tcPr>
            <w:tcW w:w="10150" w:type="dxa"/>
            <w:shd w:val="clear" w:color="auto" w:fill="F2F0EC"/>
            <w:tcMar>
              <w:top w:w="120" w:type="dxa"/>
              <w:left w:w="140" w:type="dxa"/>
              <w:bottom w:w="120" w:type="dxa"/>
              <w:right w:w="160" w:type="dxa"/>
            </w:tcMar>
          </w:tcPr>
          <w:p w14:paraId="702333CA" w14:textId="77777777" w:rsidR="006C03ED" w:rsidRDefault="00000000">
            <w:pPr>
              <w:spacing w:after="80"/>
            </w:pPr>
            <w:r>
              <w:rPr>
                <w:b/>
                <w:bCs/>
                <w:color w:val="7A7A7A"/>
              </w:rPr>
              <w:t>Was bewusst weggelassen wurde</w:t>
            </w:r>
          </w:p>
          <w:p w14:paraId="33AD0DD5" w14:textId="1A7FCA02" w:rsidR="00080888" w:rsidRDefault="00000000">
            <w:r>
              <w:t>Zwei technische Details wurden aus didaktischen Gründen nicht in die Materialien aufgenommen:</w:t>
            </w:r>
            <w:r w:rsidR="00080888">
              <w:br/>
            </w:r>
          </w:p>
          <w:p w14:paraId="08801721" w14:textId="77777777" w:rsidR="00080888" w:rsidRDefault="00080888">
            <w:r>
              <w:rPr>
                <w:b/>
                <w:bCs/>
              </w:rPr>
              <w:t xml:space="preserve">- </w:t>
            </w:r>
            <w:r w:rsidR="00000000">
              <w:rPr>
                <w:b/>
                <w:bCs/>
              </w:rPr>
              <w:t>Positional Encoding</w:t>
            </w:r>
            <w:r w:rsidR="00000000">
              <w:t xml:space="preserve"> (das Modell erhält zusätzlich Information darüber, an welcher Stelle im Satz ein Wort steht) und </w:t>
            </w:r>
          </w:p>
          <w:p w14:paraId="65AAA43A" w14:textId="77777777" w:rsidR="00080888" w:rsidRDefault="00080888">
            <w:r>
              <w:rPr>
                <w:b/>
                <w:bCs/>
              </w:rPr>
              <w:t xml:space="preserve">- </w:t>
            </w:r>
            <w:r w:rsidR="00000000">
              <w:rPr>
                <w:b/>
                <w:bCs/>
              </w:rPr>
              <w:t>Softmax</w:t>
            </w:r>
            <w:r w:rsidR="00000000">
              <w:t xml:space="preserve"> (ein mathematisches Verfahren, um die Ausgabewerte in Wahrscheinlichkeiten umzurechnen). </w:t>
            </w:r>
          </w:p>
          <w:p w14:paraId="53A3C7BB" w14:textId="77777777" w:rsidR="00080888" w:rsidRDefault="00080888"/>
          <w:p w14:paraId="1186D13C" w14:textId="3B820FE0" w:rsidR="006C03ED" w:rsidRDefault="00000000">
            <w:r>
              <w:t xml:space="preserve">Beides sind wichtige technische Bausteine, aber für das Konzeptverständnis </w:t>
            </w:r>
            <w:r w:rsidR="00080888">
              <w:t xml:space="preserve">nicht </w:t>
            </w:r>
            <w:r>
              <w:t xml:space="preserve">erforderlich. Positional Encoding sorgt dafür, dass das Modell die Wortstellung berücksichtigt; Softmax ist ein mathematischer Kniff, um große Wertebereiche auf </w:t>
            </w:r>
            <w:r w:rsidR="00080888">
              <w:t>Werte</w:t>
            </w:r>
            <w:r>
              <w:t xml:space="preserve"> zwischen 0 und 1 zu stauchen.</w:t>
            </w:r>
          </w:p>
        </w:tc>
      </w:tr>
    </w:tbl>
    <w:p w14:paraId="64B071BD" w14:textId="77777777" w:rsidR="006C03ED" w:rsidRDefault="006C03ED">
      <w:pPr>
        <w:spacing w:before="100"/>
      </w:pPr>
    </w:p>
    <w:p w14:paraId="480BCED0" w14:textId="77777777" w:rsidR="00957E06" w:rsidRDefault="00957E06">
      <w:pPr>
        <w:spacing w:before="100"/>
      </w:pPr>
    </w:p>
    <w:p w14:paraId="001EA783" w14:textId="77777777" w:rsidR="00957E06" w:rsidRDefault="00957E06">
      <w:pPr>
        <w:rPr>
          <w:b/>
          <w:bCs/>
          <w:color w:val="2B5C8A"/>
          <w:sz w:val="36"/>
          <w:szCs w:val="36"/>
        </w:rPr>
      </w:pPr>
      <w:r>
        <w:br w:type="page"/>
      </w:r>
    </w:p>
    <w:p w14:paraId="600840FE" w14:textId="4D1029C1" w:rsidR="006C03ED" w:rsidRDefault="00000000">
      <w:pPr>
        <w:pStyle w:val="Heading1"/>
      </w:pPr>
      <w:r>
        <w:lastRenderedPageBreak/>
        <w:t>Empfohlener Ablauf in der Fortbildung</w:t>
      </w:r>
    </w:p>
    <w:p w14:paraId="48BE8F71" w14:textId="14DDB4FD" w:rsidR="006C03ED" w:rsidRDefault="00000000">
      <w:pPr>
        <w:pStyle w:val="Heading3"/>
      </w:pPr>
      <w:r>
        <w:t>Phase 1: „Ein Sprachmodell sagt das nächste Wort vorher“ (ca. 35 Min.)</w:t>
      </w:r>
    </w:p>
    <w:p w14:paraId="5191AF60" w14:textId="77777777" w:rsidR="006C03ED" w:rsidRDefault="00000000">
      <w:pPr>
        <w:spacing w:after="160"/>
      </w:pPr>
      <w:r>
        <w:rPr>
          <w:b/>
          <w:bCs/>
        </w:rPr>
        <w:t xml:space="preserve">Material: </w:t>
      </w:r>
      <w:r>
        <w:t>Arbeitsblatt „Satzlücken-Orakel“, Blöcke A–C</w:t>
      </w:r>
    </w:p>
    <w:p w14:paraId="5D01E119" w14:textId="77777777" w:rsidR="006C03ED" w:rsidRDefault="00000000">
      <w:pPr>
        <w:spacing w:after="160"/>
      </w:pPr>
      <w:r>
        <w:t xml:space="preserve">Die Teilnehmenden erleben Next-Token-Prediction intuitiv, indem sie selbst Lücken füllen (Block A), gemeinsam einen Satz Wort für Wort aufbauen (Block B) und reflektieren, welches Wissen für gute Vorhersagen nötig ist (Block C). Am Ende steht die Erkenntnis: </w:t>
      </w:r>
      <w:r>
        <w:rPr>
          <w:i/>
          <w:iCs/>
        </w:rPr>
        <w:t>Ein Sprachmodell tut genau das — nur mit statistischen Mustern statt echtem Verständnis.</w:t>
      </w:r>
    </w:p>
    <w:p w14:paraId="2000B5DF" w14:textId="77777777" w:rsidR="00957E06" w:rsidRDefault="00957E06">
      <w:pPr>
        <w:pStyle w:val="Heading3"/>
      </w:pPr>
    </w:p>
    <w:p w14:paraId="2C255326" w14:textId="5F88D92E" w:rsidR="006C03ED" w:rsidRDefault="00000000">
      <w:pPr>
        <w:pStyle w:val="Heading3"/>
      </w:pPr>
      <w:r>
        <w:t>Phase 2: „Aber woher weiß das Modell, was ein Wort bedeutet?“ (ca. 30 Min.)</w:t>
      </w:r>
    </w:p>
    <w:p w14:paraId="2EF3B531" w14:textId="77777777" w:rsidR="006C03ED" w:rsidRDefault="00000000">
      <w:pPr>
        <w:spacing w:after="160"/>
      </w:pPr>
      <w:r>
        <w:rPr>
          <w:b/>
          <w:bCs/>
        </w:rPr>
        <w:t xml:space="preserve">Material: </w:t>
      </w:r>
      <w:r>
        <w:t>App „Wörter im Vektorraum“ (alle drei Modi)</w:t>
      </w:r>
    </w:p>
    <w:p w14:paraId="774D31E9" w14:textId="2F8D5086" w:rsidR="00980D35" w:rsidRDefault="00000000" w:rsidP="00980D35">
      <w:pPr>
        <w:spacing w:after="160"/>
      </w:pPr>
      <w:r>
        <w:t>Der Übergang von Phase 1 zu 2 ergibt sich organisch: In Phase 1 wurde klar, dass Wortbedeutung entscheidend ist. Jetzt zeigen die Teilnehmenden selbst, dass man Bedeutung als Zahlen darstellen kann. Der Wort-Detektiv macht Ähnlichkeit erfahrbar, das Analogie-Labor zeigt, dass man mit Bedeutung rechnen kann, und die Wort-Karte macht die Cluster sichtbar. Die Heatmap-Visualisierung unter dem Zielwort zeigt die konkreten Zahlenwerte.</w:t>
      </w:r>
    </w:p>
    <w:p w14:paraId="3DB12793" w14:textId="77777777" w:rsidR="00980D35" w:rsidRDefault="00980D35" w:rsidP="00980D35">
      <w:pPr>
        <w:spacing w:after="160"/>
      </w:pPr>
    </w:p>
    <w:p w14:paraId="0463F182" w14:textId="550D38E9" w:rsidR="00957E06" w:rsidRDefault="00980D35">
      <w:pPr>
        <w:pStyle w:val="Heading3"/>
      </w:pPr>
      <w:r>
        <w:t>Phase 3: Wie funktioniert der Attention-Mechanismus?” (ca. 30 Min.)</w:t>
      </w:r>
    </w:p>
    <w:p w14:paraId="3B5F3D56" w14:textId="79914D30" w:rsidR="00980D35" w:rsidRDefault="00980D35">
      <w:pPr>
        <w:pStyle w:val="Heading3"/>
      </w:pPr>
      <w:r>
        <w:t xml:space="preserve">Material: </w:t>
      </w:r>
      <w:r>
        <w:rPr>
          <w:sz w:val="20"/>
          <w:szCs w:val="20"/>
        </w:rPr>
        <w:t>“</w:t>
      </w:r>
      <w:r w:rsidRPr="00980D35">
        <w:rPr>
          <w:b w:val="0"/>
          <w:bCs w:val="0"/>
          <w:color w:val="auto"/>
          <w:sz w:val="22"/>
          <w:szCs w:val="22"/>
        </w:rPr>
        <w:t>Arbeitsblatt_Attention_I”, “Arbeitsblatt_Attention_II”</w:t>
      </w:r>
    </w:p>
    <w:p w14:paraId="1AB5BE17" w14:textId="5E69AAB0" w:rsidR="00980D35" w:rsidRDefault="00980D35" w:rsidP="00980D35">
      <w:pPr>
        <w:spacing w:after="160"/>
      </w:pPr>
      <w:r>
        <w:t>Wie kann man nachvollziehen, wie ein Sprachmodell die Bedeutung von einzelnen Wörtern im Kontext eines gegebenen Textes bestimmt? Der Prozess ist geteilt in zwei Teile: Einerseits wird jedes Wort eines Textes mit jedem anderen Wort kombiniert, und hierbei bekommen Bezüge von Wörtern zueinander Zahlenwerte zugewiesen: Je stärker der Wortbezug (die Aufmerksamkeit, englisch “Attention”) eines Wortes auf ein anderes, desto größer der Wert. Daraus entsteht ein Mischungsrezept: Jedes Wort eines Textes setzt sich aus der Bedeutung aller anderen Worte zusammen. Das spielen die Schüler nach.</w:t>
      </w:r>
    </w:p>
    <w:p w14:paraId="61EF0F77" w14:textId="77777777" w:rsidR="00980D35" w:rsidRDefault="00980D35">
      <w:pPr>
        <w:pStyle w:val="Heading3"/>
      </w:pPr>
    </w:p>
    <w:p w14:paraId="4584B1B5" w14:textId="2FB7C238" w:rsidR="006C03ED" w:rsidRDefault="00000000">
      <w:pPr>
        <w:pStyle w:val="Heading3"/>
      </w:pPr>
      <w:r>
        <w:t xml:space="preserve">Phase </w:t>
      </w:r>
      <w:r w:rsidR="00980D35">
        <w:t>4</w:t>
      </w:r>
      <w:r>
        <w:t>: „Wie versteht das Modell ganze Sätze?“ (ca. 20 Min.)</w:t>
      </w:r>
    </w:p>
    <w:p w14:paraId="0EA247B8" w14:textId="77777777" w:rsidR="006C03ED" w:rsidRDefault="00000000">
      <w:pPr>
        <w:spacing w:after="160"/>
      </w:pPr>
      <w:r>
        <w:rPr>
          <w:b/>
          <w:bCs/>
        </w:rPr>
        <w:t xml:space="preserve">Material: </w:t>
      </w:r>
      <w:r>
        <w:t>Arbeitsblatt „Satzlücken-Orakel“, Block D</w:t>
      </w:r>
    </w:p>
    <w:p w14:paraId="7B24C7C1" w14:textId="74D65A63" w:rsidR="00957E06" w:rsidRDefault="00000000" w:rsidP="00980D35">
      <w:pPr>
        <w:spacing w:after="160"/>
      </w:pPr>
      <w:r>
        <w:t xml:space="preserve">Block D </w:t>
      </w:r>
      <w:r w:rsidR="00980D35">
        <w:t>ergänzt</w:t>
      </w:r>
      <w:r>
        <w:t xml:space="preserve"> den Attention-Mechanismus: Die Teilnehmenden zeichnen Wortbezüge ein und erleben, dass „Sie“, „sein“ und „er“ nur im Kontext eindeutig werden. Der Vergleich mit einer „blinden KI“ (ohne Attention) macht den Mehrwert greifbar.</w:t>
      </w:r>
      <w:r w:rsidR="00980D35">
        <w:br/>
      </w:r>
    </w:p>
    <w:p w14:paraId="3AE46694" w14:textId="75DA5344" w:rsidR="006C03ED" w:rsidRDefault="00000000">
      <w:pPr>
        <w:pStyle w:val="Heading3"/>
      </w:pPr>
      <w:r>
        <w:t xml:space="preserve">Phase </w:t>
      </w:r>
      <w:r w:rsidR="00980D35">
        <w:t>5</w:t>
      </w:r>
      <w:r>
        <w:t>: Zusammenführung — Die Pipeline (ca. 5 Min.)</w:t>
      </w:r>
    </w:p>
    <w:p w14:paraId="67400F9C" w14:textId="77777777" w:rsidR="006C03ED" w:rsidRDefault="00000000">
      <w:pPr>
        <w:spacing w:after="160"/>
      </w:pPr>
      <w:r>
        <w:rPr>
          <w:b/>
          <w:bCs/>
        </w:rPr>
        <w:t xml:space="preserve">Material: </w:t>
      </w:r>
      <w:r>
        <w:t>Diese Roadmap (Seite 1)</w:t>
      </w:r>
    </w:p>
    <w:p w14:paraId="1FA3CE55" w14:textId="01E32005" w:rsidR="006C03ED" w:rsidRDefault="00000000">
      <w:pPr>
        <w:spacing w:after="160"/>
      </w:pPr>
      <w:r>
        <w:t xml:space="preserve">Zum Abschluss zeigen Sie die Pipeline-Übersicht und ordnen gemeinsam ein: „Wir haben heute </w:t>
      </w:r>
      <w:r w:rsidR="00980D35">
        <w:t>die Einzelschritte nachvollzogen</w:t>
      </w:r>
      <w:r>
        <w:t>.“ Das gibt den Teilnehmenden das befriedigende Gefühl, die Gesamtstruktur zu überblicken — ohne sich in jedem Detail verloren zu haben.</w:t>
      </w:r>
    </w:p>
    <w:p w14:paraId="6A2F539D" w14:textId="77777777" w:rsidR="006C03ED" w:rsidRDefault="006C03ED">
      <w:pPr>
        <w:spacing w:before="100"/>
      </w:pPr>
    </w:p>
    <w:tbl>
      <w:tblPr>
        <w:tblW w:w="10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10150"/>
      </w:tblGrid>
      <w:tr w:rsidR="006C03ED" w14:paraId="6C50444D" w14:textId="77777777" w:rsidTr="00080888">
        <w:tc>
          <w:tcPr>
            <w:tcW w:w="180" w:type="dxa"/>
            <w:tcBorders>
              <w:left w:val="single" w:sz="14" w:space="0" w:color="2E7D52"/>
            </w:tcBorders>
            <w:shd w:val="clear" w:color="auto" w:fill="E3F2E9"/>
            <w:tcMar>
              <w:top w:w="40" w:type="dxa"/>
              <w:left w:w="60" w:type="dxa"/>
              <w:bottom w:w="40" w:type="dxa"/>
              <w:right w:w="0" w:type="dxa"/>
            </w:tcMar>
          </w:tcPr>
          <w:p w14:paraId="34A7ABD7" w14:textId="77777777" w:rsidR="006C03ED" w:rsidRDefault="006C03ED"/>
        </w:tc>
        <w:tc>
          <w:tcPr>
            <w:tcW w:w="10150" w:type="dxa"/>
            <w:shd w:val="clear" w:color="auto" w:fill="E3F2E9"/>
            <w:tcMar>
              <w:top w:w="120" w:type="dxa"/>
              <w:left w:w="140" w:type="dxa"/>
              <w:bottom w:w="120" w:type="dxa"/>
              <w:right w:w="160" w:type="dxa"/>
            </w:tcMar>
          </w:tcPr>
          <w:p w14:paraId="1F782FF9" w14:textId="77777777" w:rsidR="006C03ED" w:rsidRDefault="00000000">
            <w:pPr>
              <w:spacing w:after="80"/>
            </w:pPr>
            <w:r>
              <w:rPr>
                <w:b/>
                <w:bCs/>
                <w:color w:val="2E7D52"/>
              </w:rPr>
              <w:t>Didaktischer Hinweis zur Reihenfolge</w:t>
            </w:r>
          </w:p>
          <w:p w14:paraId="60D52744" w14:textId="77777777" w:rsidR="006C03ED" w:rsidRDefault="00000000">
            <w:r>
              <w:t xml:space="preserve">Obwohl die Pipeline technisch mit Schritt 1 beginnt, empfehlen wir, in der Fortbildung mit </w:t>
            </w:r>
            <w:r>
              <w:rPr>
                <w:b/>
                <w:bCs/>
              </w:rPr>
              <w:t>Schritt 5 (Vorhersage)</w:t>
            </w:r>
            <w:r>
              <w:t xml:space="preserve"> zu starten. Der Grund: Next-Token-Prediction ist das intuitivste Konzept und knüpft direkt an die ML-Vorerfahrung (Eisverkäufer-Regression) an. Von dort aus kann man rückwärts fragen: „Aber wie versteht das Modell, was ein Wort bedeutet?“ (Schritt 2) und „Wie versteht es ganze Sätze?“ (Schritt 3).</w:t>
            </w:r>
          </w:p>
        </w:tc>
      </w:tr>
    </w:tbl>
    <w:p w14:paraId="1E3AB28C" w14:textId="16C612A2" w:rsidR="006C03ED" w:rsidRDefault="006C03ED">
      <w:pPr>
        <w:pBdr>
          <w:top w:val="single" w:sz="2" w:space="8" w:color="C0C0C0"/>
        </w:pBdr>
      </w:pPr>
    </w:p>
    <w:sectPr w:rsidR="006C03ED" w:rsidSect="00957E06">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276F"/>
    <w:multiLevelType w:val="hybridMultilevel"/>
    <w:tmpl w:val="F5E6421A"/>
    <w:lvl w:ilvl="0" w:tplc="5D864658">
      <w:start w:val="1"/>
      <w:numFmt w:val="decimal"/>
      <w:lvlText w:val="%1."/>
      <w:lvlJc w:val="left"/>
      <w:pPr>
        <w:ind w:left="720" w:hanging="360"/>
      </w:pPr>
    </w:lvl>
    <w:lvl w:ilvl="1" w:tplc="F1421582">
      <w:numFmt w:val="decimal"/>
      <w:lvlText w:val=""/>
      <w:lvlJc w:val="left"/>
    </w:lvl>
    <w:lvl w:ilvl="2" w:tplc="A3A8D0F0">
      <w:numFmt w:val="decimal"/>
      <w:lvlText w:val=""/>
      <w:lvlJc w:val="left"/>
    </w:lvl>
    <w:lvl w:ilvl="3" w:tplc="44FA7A1C">
      <w:numFmt w:val="decimal"/>
      <w:lvlText w:val=""/>
      <w:lvlJc w:val="left"/>
    </w:lvl>
    <w:lvl w:ilvl="4" w:tplc="F0B4B80E">
      <w:numFmt w:val="decimal"/>
      <w:lvlText w:val=""/>
      <w:lvlJc w:val="left"/>
    </w:lvl>
    <w:lvl w:ilvl="5" w:tplc="7C6E05F8">
      <w:numFmt w:val="decimal"/>
      <w:lvlText w:val=""/>
      <w:lvlJc w:val="left"/>
    </w:lvl>
    <w:lvl w:ilvl="6" w:tplc="7708E5AA">
      <w:numFmt w:val="decimal"/>
      <w:lvlText w:val=""/>
      <w:lvlJc w:val="left"/>
    </w:lvl>
    <w:lvl w:ilvl="7" w:tplc="51267E1A">
      <w:numFmt w:val="decimal"/>
      <w:lvlText w:val=""/>
      <w:lvlJc w:val="left"/>
    </w:lvl>
    <w:lvl w:ilvl="8" w:tplc="479C9324">
      <w:numFmt w:val="decimal"/>
      <w:lvlText w:val=""/>
      <w:lvlJc w:val="left"/>
    </w:lvl>
  </w:abstractNum>
  <w:abstractNum w:abstractNumId="1" w15:restartNumberingAfterBreak="0">
    <w:nsid w:val="32D4322F"/>
    <w:multiLevelType w:val="hybridMultilevel"/>
    <w:tmpl w:val="FF087FC0"/>
    <w:lvl w:ilvl="0" w:tplc="60BEEFCC">
      <w:start w:val="1"/>
      <w:numFmt w:val="bullet"/>
      <w:lvlText w:val="•"/>
      <w:lvlJc w:val="left"/>
      <w:pPr>
        <w:ind w:left="720" w:hanging="360"/>
      </w:pPr>
    </w:lvl>
    <w:lvl w:ilvl="1" w:tplc="194E09A6">
      <w:numFmt w:val="decimal"/>
      <w:lvlText w:val=""/>
      <w:lvlJc w:val="left"/>
    </w:lvl>
    <w:lvl w:ilvl="2" w:tplc="935494FE">
      <w:numFmt w:val="decimal"/>
      <w:lvlText w:val=""/>
      <w:lvlJc w:val="left"/>
    </w:lvl>
    <w:lvl w:ilvl="3" w:tplc="4D563C9A">
      <w:numFmt w:val="decimal"/>
      <w:lvlText w:val=""/>
      <w:lvlJc w:val="left"/>
    </w:lvl>
    <w:lvl w:ilvl="4" w:tplc="652A7946">
      <w:numFmt w:val="decimal"/>
      <w:lvlText w:val=""/>
      <w:lvlJc w:val="left"/>
    </w:lvl>
    <w:lvl w:ilvl="5" w:tplc="CDF60BEA">
      <w:numFmt w:val="decimal"/>
      <w:lvlText w:val=""/>
      <w:lvlJc w:val="left"/>
    </w:lvl>
    <w:lvl w:ilvl="6" w:tplc="8968FF24">
      <w:numFmt w:val="decimal"/>
      <w:lvlText w:val=""/>
      <w:lvlJc w:val="left"/>
    </w:lvl>
    <w:lvl w:ilvl="7" w:tplc="B3D8FB00">
      <w:numFmt w:val="decimal"/>
      <w:lvlText w:val=""/>
      <w:lvlJc w:val="left"/>
    </w:lvl>
    <w:lvl w:ilvl="8" w:tplc="BB72B824">
      <w:numFmt w:val="decimal"/>
      <w:lvlText w:val=""/>
      <w:lvlJc w:val="left"/>
    </w:lvl>
  </w:abstractNum>
  <w:abstractNum w:abstractNumId="2" w15:restartNumberingAfterBreak="0">
    <w:nsid w:val="4B542547"/>
    <w:multiLevelType w:val="hybridMultilevel"/>
    <w:tmpl w:val="9AD8DC90"/>
    <w:lvl w:ilvl="0" w:tplc="41CA6122">
      <w:start w:val="1"/>
      <w:numFmt w:val="bullet"/>
      <w:lvlText w:val="●"/>
      <w:lvlJc w:val="left"/>
      <w:pPr>
        <w:ind w:left="720" w:hanging="360"/>
      </w:pPr>
    </w:lvl>
    <w:lvl w:ilvl="1" w:tplc="F2CAD926">
      <w:start w:val="1"/>
      <w:numFmt w:val="bullet"/>
      <w:lvlText w:val="○"/>
      <w:lvlJc w:val="left"/>
      <w:pPr>
        <w:ind w:left="1440" w:hanging="360"/>
      </w:pPr>
    </w:lvl>
    <w:lvl w:ilvl="2" w:tplc="14D0BAC2">
      <w:start w:val="1"/>
      <w:numFmt w:val="bullet"/>
      <w:lvlText w:val="■"/>
      <w:lvlJc w:val="left"/>
      <w:pPr>
        <w:ind w:left="2160" w:hanging="360"/>
      </w:pPr>
    </w:lvl>
    <w:lvl w:ilvl="3" w:tplc="134C8C2E">
      <w:start w:val="1"/>
      <w:numFmt w:val="bullet"/>
      <w:lvlText w:val="●"/>
      <w:lvlJc w:val="left"/>
      <w:pPr>
        <w:ind w:left="2880" w:hanging="360"/>
      </w:pPr>
    </w:lvl>
    <w:lvl w:ilvl="4" w:tplc="5700F2B0">
      <w:start w:val="1"/>
      <w:numFmt w:val="bullet"/>
      <w:lvlText w:val="○"/>
      <w:lvlJc w:val="left"/>
      <w:pPr>
        <w:ind w:left="3600" w:hanging="360"/>
      </w:pPr>
    </w:lvl>
    <w:lvl w:ilvl="5" w:tplc="086EE610">
      <w:start w:val="1"/>
      <w:numFmt w:val="bullet"/>
      <w:lvlText w:val="■"/>
      <w:lvlJc w:val="left"/>
      <w:pPr>
        <w:ind w:left="4320" w:hanging="360"/>
      </w:pPr>
    </w:lvl>
    <w:lvl w:ilvl="6" w:tplc="A4CCD82E">
      <w:start w:val="1"/>
      <w:numFmt w:val="bullet"/>
      <w:lvlText w:val="●"/>
      <w:lvlJc w:val="left"/>
      <w:pPr>
        <w:ind w:left="5040" w:hanging="360"/>
      </w:pPr>
    </w:lvl>
    <w:lvl w:ilvl="7" w:tplc="07524FCC">
      <w:start w:val="1"/>
      <w:numFmt w:val="bullet"/>
      <w:lvlText w:val="●"/>
      <w:lvlJc w:val="left"/>
      <w:pPr>
        <w:ind w:left="5760" w:hanging="360"/>
      </w:pPr>
    </w:lvl>
    <w:lvl w:ilvl="8" w:tplc="C1C08BB6">
      <w:start w:val="1"/>
      <w:numFmt w:val="bullet"/>
      <w:lvlText w:val="●"/>
      <w:lvlJc w:val="left"/>
      <w:pPr>
        <w:ind w:left="6480" w:hanging="360"/>
      </w:pPr>
    </w:lvl>
  </w:abstractNum>
  <w:num w:numId="1" w16cid:durableId="16283951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3ED"/>
    <w:rsid w:val="00080888"/>
    <w:rsid w:val="001A17C8"/>
    <w:rsid w:val="00516DB3"/>
    <w:rsid w:val="006C03ED"/>
    <w:rsid w:val="00957E06"/>
    <w:rsid w:val="00980D3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8E89E"/>
  <w15:docId w15:val="{1BE259EC-3573-AD41-A9AC-628E0650A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5C8A"/>
      <w:sz w:val="36"/>
      <w:szCs w:val="36"/>
    </w:rPr>
  </w:style>
  <w:style w:type="paragraph" w:styleId="Heading2">
    <w:name w:val="heading 2"/>
    <w:uiPriority w:val="9"/>
    <w:unhideWhenUsed/>
    <w:qFormat/>
    <w:pPr>
      <w:spacing w:before="280" w:after="160"/>
      <w:outlineLvl w:val="1"/>
    </w:pPr>
    <w:rPr>
      <w:b/>
      <w:bCs/>
      <w:color w:val="2B5C8A"/>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1166</Words>
  <Characters>6765</Characters>
  <Application>Microsoft Office Word</Application>
  <DocSecurity>0</DocSecurity>
  <Lines>187</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3</cp:revision>
  <dcterms:created xsi:type="dcterms:W3CDTF">2026-03-04T20:49:00Z</dcterms:created>
  <dcterms:modified xsi:type="dcterms:W3CDTF">2026-03-11T18:36:00Z</dcterms:modified>
</cp:coreProperties>
</file>