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Positionspapier</w:t>
      </w:r>
    </w:p>
    <w:p>
      <w:pPr>
        <w:spacing w:after="120"/>
      </w:pPr>
      <w:r>
        <w:rPr>
          <w:b/>
          <w:bCs/>
          <w:sz w:val="30"/>
          <w:szCs w:val="30"/>
        </w:rPr>
        <w:t xml:space="preserve">KI-Systeme datenschutzkonform in der Schule einsetzen</w:t>
      </w:r>
    </w:p>
    <w:p>
      <w:pPr>
        <w:spacing w:after="40"/>
      </w:pPr>
      <w:r>
        <w:rPr>
          <w:i/>
          <w:iCs/>
          <w:color w:val="595959"/>
          <w:sz w:val="22"/>
          <w:szCs w:val="22"/>
        </w:rPr>
        <w:t xml:space="preserve">Rechtliche Einordnung der Zugangswege — KI-Verordnung, DSGVO und digitale Souveränität</w:t>
      </w:r>
    </w:p>
    <w:p>
      <w:pPr>
        <w:spacing w:after="40"/>
      </w:pPr>
      <w:r>
        <w:rPr>
          <w:color w:val="595959"/>
          <w:sz w:val="19"/>
          <w:szCs w:val="19"/>
        </w:rPr>
        <w:t xml:space="preserve">Grundlage für Lehrkräftefortbildungen · Landesfachteam KI Baden-Württemberg</w:t>
      </w:r>
    </w:p>
    <w:p>
      <w:pPr>
        <w:spacing w:after="160"/>
      </w:pPr>
      <w:r>
        <w:rPr>
          <w:color w:val="595959"/>
          <w:sz w:val="19"/>
          <w:szCs w:val="19"/>
        </w:rPr>
        <w:t xml:space="preserve">Rechtsstand: 15. Juli 2026</w:t>
      </w:r>
    </w:p>
    <w:p>
      <w:pPr>
        <w:pBdr>
          <w:bottom w:val="single" w:color="BFBFBF" w:sz="6" w:space="1"/>
        </w:pBdr>
        <w:spacing w:after="60"/>
      </w:pPr>
    </w:p>
    <w:p>
      <w:pPr>
        <w:pStyle w:val="Heading1"/>
        <w:spacing w:after="120" w:before="300"/>
      </w:pPr>
      <w:r>
        <w:rPr>
          <w:b/>
          <w:bCs/>
          <w:color w:val="1F3864"/>
          <w:sz w:val="27"/>
          <w:szCs w:val="27"/>
        </w:rPr>
        <w:t xml:space="preserve">Kernthesen</w:t>
      </w:r>
    </w:p>
    <w:p>
      <w:pPr>
        <w:pStyle w:val="ListParagraph"/>
        <w:numPr>
          <w:ilvl w:val="0"/>
          <w:numId w:val="2"/>
        </w:numPr>
        <w:spacing w:after="110" w:line="272"/>
      </w:pPr>
      <w:r>
        <w:rPr>
          <w:b/>
          <w:bCs/>
          <w:sz w:val="21"/>
          <w:szCs w:val="21"/>
        </w:rPr>
        <w:t xml:space="preserve">Wer KI beruflich einsetzt, ist immer „Betreiber".</w:t>
      </w:r>
      <w:r>
        <w:rPr>
          <w:sz w:val="21"/>
          <w:szCs w:val="21"/>
        </w:rPr>
        <w:t xml:space="preserve"> Eine Schule, die KI im Unterricht nutzt, ist Betreiberin im Sinne der KI-VO — unabhängig davon, ob die KI in der Cloud oder auf einem lokalen Server läuft. „Betreiber" ist dabei die pflichtenärmere Rolle; die umfassenden Pflichten treffen den „Anbieter".</w:t>
      </w:r>
    </w:p>
    <w:p>
      <w:pPr>
        <w:pStyle w:val="ListParagraph"/>
        <w:numPr>
          <w:ilvl w:val="0"/>
          <w:numId w:val="2"/>
        </w:numPr>
        <w:spacing w:after="110" w:line="272"/>
      </w:pPr>
      <w:r>
        <w:rPr>
          <w:b/>
          <w:bCs/>
          <w:sz w:val="21"/>
          <w:szCs w:val="21"/>
        </w:rPr>
        <w:t xml:space="preserve">Selbst-Hosting begründet keine höheren Pflichten.</w:t>
      </w:r>
      <w:r>
        <w:rPr>
          <w:sz w:val="21"/>
          <w:szCs w:val="21"/>
        </w:rPr>
        <w:t xml:space="preserve"> Das Betreiben eines lokalen Modells macht die Schule weder automatisch zum Anbieter noch löst es „deutlich höhere Pflichten" aus. Höhere Pflichten entstehen durch die Art der Nutzung (Hochrisiko-Zwecke), nicht durch den Betriebsort.</w:t>
      </w:r>
    </w:p>
    <w:p>
      <w:pPr>
        <w:pStyle w:val="ListParagraph"/>
        <w:numPr>
          <w:ilvl w:val="0"/>
          <w:numId w:val="2"/>
        </w:numPr>
        <w:spacing w:after="110" w:line="272"/>
      </w:pPr>
      <w:r>
        <w:rPr>
          <w:b/>
          <w:bCs/>
          <w:sz w:val="21"/>
          <w:szCs w:val="21"/>
        </w:rPr>
        <w:t xml:space="preserve">Die aktiven KI-VO-Pflichten sind schlank.</w:t>
      </w:r>
      <w:r>
        <w:rPr>
          <w:sz w:val="21"/>
          <w:szCs w:val="21"/>
        </w:rPr>
        <w:t xml:space="preserve"> Für den gewöhnlichen Unterrichtseinsatz gelten heute vor allem KI-Kompetenz (Art. 4) und das Meiden verbotener Praktiken (Art. 5); ab August 2026 kommt die Transparenzkennzeichnung (Art. 50) hinzu.</w:t>
      </w:r>
    </w:p>
    <w:p>
      <w:pPr>
        <w:pStyle w:val="ListParagraph"/>
        <w:numPr>
          <w:ilvl w:val="0"/>
          <w:numId w:val="2"/>
        </w:numPr>
        <w:spacing w:after="110" w:line="272"/>
      </w:pPr>
      <w:r>
        <w:rPr>
          <w:b/>
          <w:bCs/>
          <w:sz w:val="21"/>
          <w:szCs w:val="21"/>
        </w:rPr>
        <w:t xml:space="preserve">Die Zugangswege trennen sich auf der DSGVO-Achse.</w:t>
      </w:r>
      <w:r>
        <w:rPr>
          <w:sz w:val="21"/>
          <w:szCs w:val="21"/>
        </w:rPr>
        <w:t xml:space="preserve"> fobizz, die Landeslösung AIS.chat, ein API-Dienst wie deepinfra und lokales Hosting stehen KI-VO-rechtlich gleich (jeweils Betreiber). Der Unterschied liegt im Datenschutzrecht.</w:t>
      </w:r>
    </w:p>
    <w:p>
      <w:pPr>
        <w:pStyle w:val="ListParagraph"/>
        <w:numPr>
          <w:ilvl w:val="0"/>
          <w:numId w:val="2"/>
        </w:numPr>
        <w:spacing w:after="110" w:line="272"/>
      </w:pPr>
      <w:r>
        <w:rPr>
          <w:b/>
          <w:bCs/>
          <w:sz w:val="21"/>
          <w:szCs w:val="21"/>
        </w:rPr>
        <w:t xml:space="preserve">Nicht der Speicherort zählt, sondern die Jurisdiktion.</w:t>
      </w:r>
      <w:r>
        <w:rPr>
          <w:sz w:val="21"/>
          <w:szCs w:val="21"/>
        </w:rPr>
        <w:t xml:space="preserve"> Datenresidenz (Daten liegen in der EU) ist nicht Datensouveränität. US-kontrollierte Anbieter unterliegen auch mit EU-Rechenzentren dem US-CLOUD-Act.</w:t>
      </w:r>
    </w:p>
    <w:p>
      <w:pPr>
        <w:pStyle w:val="ListParagraph"/>
        <w:numPr>
          <w:ilvl w:val="0"/>
          <w:numId w:val="2"/>
        </w:numPr>
        <w:spacing w:after="110" w:line="272"/>
      </w:pPr>
      <w:r>
        <w:rPr>
          <w:b/>
          <w:bCs/>
          <w:sz w:val="21"/>
          <w:szCs w:val="21"/>
        </w:rPr>
        <w:t xml:space="preserve">Pseudonymisierung ist keine Anonymisierung.</w:t>
      </w:r>
      <w:r>
        <w:rPr>
          <w:sz w:val="21"/>
          <w:szCs w:val="21"/>
        </w:rPr>
        <w:t xml:space="preserve"> Die stärkste, tool-übergreifende Schutzmaßnahme bleibt organisatorisch: keine personenbezogenen Daten in Prompts.</w:t>
      </w:r>
    </w:p>
    <w:p>
      <w:pPr>
        <w:pStyle w:val="Heading1"/>
        <w:spacing w:after="120" w:before="300"/>
      </w:pPr>
      <w:r>
        <w:rPr>
          <w:b/>
          <w:bCs/>
          <w:color w:val="1F3864"/>
          <w:sz w:val="27"/>
          <w:szCs w:val="27"/>
        </w:rPr>
        <w:t xml:space="preserve">1. Ausgangslage: der „Betreiber"-Einwand</w:t>
      </w:r>
    </w:p>
    <w:p>
      <w:pPr>
        <w:spacing w:after="120" w:line="276"/>
      </w:pPr>
      <w:r>
        <w:rPr>
          <w:sz w:val="21"/>
          <w:szCs w:val="21"/>
        </w:rPr>
        <w:t xml:space="preserve">In Fortbildungen wird der Betrieb lokaler Server mit lokalen Sprachmodellen als datenschutzfreundliche Lösung empfohlen. Dem wird entgegengehalten, wer selbst ein Modell für die eigene Schule hoste, werde „automatisch zum KI-Betreiber", was in „deutlich höhere Pflichten" münde. Dieses Papier prüft den Einwand und ordnet daraus die vier gängigen Zugangswege rechtlich ein.</w:t>
      </w:r>
    </w:p>
    <w:p>
      <w:pPr>
        <w:spacing w:after="120" w:line="276"/>
      </w:pPr>
      <w:r>
        <w:rPr>
          <w:b/>
          <w:bCs/>
          <w:sz w:val="21"/>
          <w:szCs w:val="21"/>
        </w:rPr>
        <w:t xml:space="preserve">Ergebnis vorweg: </w:t>
      </w:r>
      <w:r>
        <w:rPr>
          <w:sz w:val="21"/>
          <w:szCs w:val="21"/>
        </w:rPr>
        <w:t xml:space="preserve">Der Einwand beruht auf einer Verwechslung zweier Rollen. „Betreiber" ist die leichtere Rolle, nicht die schwerere — und dieser Status entsteht bei jeder beruflichen KI-Nutzung, nicht erst durch das Selbst-Hosten.</w:t>
      </w:r>
    </w:p>
    <w:p>
      <w:pPr>
        <w:pStyle w:val="Heading1"/>
        <w:spacing w:after="120" w:before="300"/>
      </w:pPr>
      <w:r>
        <w:rPr>
          <w:b/>
          <w:bCs/>
          <w:color w:val="1F3864"/>
          <w:sz w:val="27"/>
          <w:szCs w:val="27"/>
        </w:rPr>
        <w:t xml:space="preserve">2. Rollenfrage der KI-VO: Betreiber ist nicht Anbieter</w:t>
      </w:r>
    </w:p>
    <w:p>
      <w:pPr>
        <w:spacing w:after="120" w:line="276"/>
      </w:pPr>
      <w:r>
        <w:rPr>
          <w:sz w:val="21"/>
          <w:szCs w:val="21"/>
        </w:rPr>
        <w:t xml:space="preserve">Die KI-VO unterscheidet </w:t>
      </w:r>
      <w:r>
        <w:rPr>
          <w:b/>
          <w:bCs/>
          <w:sz w:val="21"/>
          <w:szCs w:val="21"/>
        </w:rPr>
        <w:t xml:space="preserve">Anbieter</w:t>
      </w:r>
      <w:r>
        <w:rPr>
          <w:sz w:val="21"/>
          <w:szCs w:val="21"/>
        </w:rPr>
        <w:t xml:space="preserve"> (Art. 3 Nr. 3) und </w:t>
      </w:r>
      <w:r>
        <w:rPr>
          <w:b/>
          <w:bCs/>
          <w:sz w:val="21"/>
          <w:szCs w:val="21"/>
        </w:rPr>
        <w:t xml:space="preserve">Betreiber</w:t>
      </w:r>
      <w:r>
        <w:rPr>
          <w:sz w:val="21"/>
          <w:szCs w:val="21"/>
        </w:rPr>
        <w:t xml:space="preserve"> (Art. 3 Nr. 4). Anbieter tragen die umfassenden Pflichten — Konformitätsbewertung, technische Dokumentation, Registrierung. Betreiber müssen im Kern nur die regelkonforme Nutzung sicherstellen. Wer also sagt, man werde „zum Betreiber, was höhere Pflichten bedeutet", dreht die Systematik um.</w:t>
      </w:r>
    </w:p>
    <w:p>
      <w:pPr>
        <w:spacing w:after="120" w:line="276"/>
      </w:pPr>
      <w:r>
        <w:rPr>
          <w:sz w:val="21"/>
          <w:szCs w:val="21"/>
        </w:rPr>
        <w:t xml:space="preserve">Der Betreiber-Status hängt nicht am Betriebsort: Sobald eine Schule </w:t>
      </w:r>
      <w:r>
        <w:rPr>
          <w:i/>
          <w:iCs/>
          <w:sz w:val="21"/>
          <w:szCs w:val="21"/>
        </w:rPr>
        <w:t xml:space="preserve">irgendein</w:t>
      </w:r>
      <w:r>
        <w:rPr>
          <w:sz w:val="21"/>
          <w:szCs w:val="21"/>
        </w:rPr>
        <w:t xml:space="preserve"> KI-System beruflich einsetzt — Cloud oder lokal —, ist sie Betreiberin. Lokales Hosting schafft diesen Status also nicht neu.</w:t>
      </w:r>
    </w:p>
    <w:p>
      <w:pPr>
        <w:spacing w:after="120" w:line="276"/>
      </w:pPr>
      <w:r>
        <w:rPr>
          <w:sz w:val="21"/>
          <w:szCs w:val="21"/>
        </w:rPr>
        <w:t xml:space="preserve">Zum </w:t>
      </w:r>
      <w:r>
        <w:rPr>
          <w:b/>
          <w:bCs/>
          <w:sz w:val="21"/>
          <w:szCs w:val="21"/>
        </w:rPr>
        <w:t xml:space="preserve">Anbieter</w:t>
      </w:r>
      <w:r>
        <w:rPr>
          <w:sz w:val="21"/>
          <w:szCs w:val="21"/>
        </w:rPr>
        <w:t xml:space="preserve"> wird man erst durch eigenes Fine-Tuning/Retraining, Integration in ein weitergegebenes Produkt, White-Labeling unter eigener Marke oder Funktionsänderungen, die Zweck oder Risiko verändern. Ein unverändertes Modell (z. B. via Ollama) für den Unterricht fällt nicht darunter; Anbieter des Modells bleibt der jeweilige Hersteller.</w:t>
      </w:r>
    </w:p>
    <w:p>
      <w:pPr>
        <w:spacing w:after="120" w:line="276"/>
      </w:pPr>
      <w:r>
        <w:rPr>
          <w:sz w:val="21"/>
          <w:szCs w:val="21"/>
        </w:rPr>
        <w:t xml:space="preserve">Höhere Pflichten löst allein die </w:t>
      </w:r>
      <w:r>
        <w:rPr>
          <w:b/>
          <w:bCs/>
          <w:sz w:val="21"/>
          <w:szCs w:val="21"/>
        </w:rPr>
        <w:t xml:space="preserve">Hochrisiko-Nutzung</w:t>
      </w:r>
      <w:r>
        <w:rPr>
          <w:sz w:val="21"/>
          <w:szCs w:val="21"/>
        </w:rPr>
        <w:t xml:space="preserve"> aus. Bildung ist zwar ein Anhang-III-Bereich, aber nur für enge Zwecke (Zugang/Zulassung, Bewertung von Lernergebnissen, Feststellung des Bildungsniveaus, Prüfungsüberwachung). Ein LLM als Lern- und Erklärwerkzeug fällt nicht darunter — und diese Einstufung ist bei Cloud und lokal identisch. Der „Digital Omnibus" hat die Anhang-III-Pflichten zudem auf den 2. Dezember 2027 verschoben.</w:t>
      </w:r>
    </w:p>
    <w:p>
      <w:pPr>
        <w:pStyle w:val="Heading1"/>
        <w:spacing w:after="120" w:before="300"/>
      </w:pPr>
      <w:r>
        <w:rPr>
          <w:b/>
          <w:bCs/>
          <w:color w:val="1F3864"/>
          <w:sz w:val="27"/>
          <w:szCs w:val="27"/>
        </w:rPr>
        <w:t xml:space="preserve">3. Pflichten der Schule als Betreiber</w:t>
      </w:r>
    </w:p>
    <w:p>
      <w:pPr>
        <w:spacing w:after="120" w:line="276"/>
      </w:pPr>
      <w:r>
        <w:rPr>
          <w:sz w:val="21"/>
          <w:szCs w:val="21"/>
        </w:rPr>
        <w:t xml:space="preserve">Außerhalb des Hochrisikobereichs ist die KI-VO-Last schlank. Im Kern sind es drei Pflichten:</w:t>
      </w:r>
    </w:p>
    <w:p>
      <w:pPr>
        <w:pStyle w:val="ListParagraph"/>
        <w:numPr>
          <w:ilvl w:val="0"/>
          <w:numId w:val="3"/>
        </w:numPr>
        <w:spacing w:after="90" w:line="272"/>
      </w:pPr>
      <w:r>
        <w:rPr>
          <w:b/>
          <w:bCs/>
          <w:sz w:val="21"/>
          <w:szCs w:val="21"/>
        </w:rPr>
        <w:t xml:space="preserve">KI-Kompetenz (Art. 4) — seit 2. Februar 2025. </w:t>
      </w:r>
      <w:r>
        <w:rPr>
          <w:sz w:val="21"/>
          <w:szCs w:val="21"/>
        </w:rPr>
        <w:t xml:space="preserve">Die Schule muss „nach besten Kräften" sicherstellen, dass alle, die KI einsetzen, über ausreichende KI-Kompetenz verfügen. Das gilt für alle Anwendungen unabhängig von der Risikoklasse. Fortbildungen und dokumentierte Einweisung sind der Erfüllungsmechanismus.</w:t>
      </w:r>
    </w:p>
    <w:p>
      <w:pPr>
        <w:pStyle w:val="ListParagraph"/>
        <w:numPr>
          <w:ilvl w:val="0"/>
          <w:numId w:val="3"/>
        </w:numPr>
        <w:spacing w:after="90" w:line="272"/>
      </w:pPr>
      <w:r>
        <w:rPr>
          <w:b/>
          <w:bCs/>
          <w:sz w:val="21"/>
          <w:szCs w:val="21"/>
        </w:rPr>
        <w:t xml:space="preserve">Keine verbotenen Praktiken (Art. 5) — seit 2. Februar 2025. </w:t>
      </w:r>
      <w:r>
        <w:rPr>
          <w:sz w:val="21"/>
          <w:szCs w:val="21"/>
        </w:rPr>
        <w:t xml:space="preserve">Das Verbot trifft auch Betreiber. Für Schulen ist die scharfe Kante Art. 5 Abs. 1 lit. f: KI-gestützte Emotionserkennung in Bildungseinrichtungen ist verboten (Ausnahmen nur medizinisch/sicherheitstechnisch; eine Einwilligung heilt das nicht). Ebenfalls verboten: Manipulation, Ausnutzung von Schutzbedürftigkeit, Social Scoring, biometrische Kategorisierung sensibler Merkmale.</w:t>
      </w:r>
    </w:p>
    <w:p>
      <w:pPr>
        <w:pStyle w:val="ListParagraph"/>
        <w:numPr>
          <w:ilvl w:val="0"/>
          <w:numId w:val="3"/>
        </w:numPr>
        <w:spacing w:after="90" w:line="272"/>
      </w:pPr>
      <w:r>
        <w:rPr>
          <w:b/>
          <w:bCs/>
          <w:sz w:val="21"/>
          <w:szCs w:val="21"/>
        </w:rPr>
        <w:t xml:space="preserve">Transparenz (Art. 50) — ab 2. August 2026. </w:t>
      </w:r>
      <w:r>
        <w:rPr>
          <w:sz w:val="21"/>
          <w:szCs w:val="21"/>
        </w:rPr>
        <w:t xml:space="preserve">KI-generierte oder -manipulierte Medien („Deepfakes") sind zu kennzeichnen; zudem sollte sichergestellt sein, dass Lernende wissen, dass sie mit einer KI interagieren.</w:t>
      </w:r>
    </w:p>
    <w:p>
      <w:pPr>
        <w:spacing w:after="120" w:line="276"/>
      </w:pPr>
      <w:r>
        <w:rPr>
          <w:b/>
          <w:bCs/>
          <w:sz w:val="21"/>
          <w:szCs w:val="21"/>
        </w:rPr>
        <w:t xml:space="preserve">Was nicht anfällt: </w:t>
      </w:r>
      <w:r>
        <w:rPr>
          <w:sz w:val="21"/>
          <w:szCs w:val="21"/>
        </w:rPr>
        <w:t xml:space="preserve">kein Risikomanagementsystem, keine Konformitätsbewertung, keine technische Dokumentation, keine EU-Datenbank-Registrierung, keine Grundrechte-Folgenabschätzung. Dieser Katalog (Art. 26/27) ist Hochrisiko-Betreibern vorbehalten. Praktisch der größere Aufwand ist ohnehin nicht die KI-VO, sondern die DSGVO.</w:t>
      </w:r>
    </w:p>
    <w:p>
      <w:pPr>
        <w:pStyle w:val="Heading1"/>
        <w:spacing w:after="120" w:before="300"/>
      </w:pPr>
      <w:r>
        <w:rPr>
          <w:b/>
          <w:bCs/>
          <w:color w:val="1F3864"/>
          <w:sz w:val="27"/>
          <w:szCs w:val="27"/>
        </w:rPr>
        <w:t xml:space="preserve">4. Die vier Zugangswege im DSGVO-Vergleich</w:t>
      </w:r>
    </w:p>
    <w:p>
      <w:pPr>
        <w:pStyle w:val="Heading2"/>
        <w:spacing w:after="100" w:before="220"/>
      </w:pPr>
      <w:r>
        <w:rPr>
          <w:b/>
          <w:bCs/>
          <w:color w:val="1F3864"/>
          <w:sz w:val="23"/>
          <w:szCs w:val="23"/>
        </w:rPr>
        <w:t xml:space="preserve">Gemeinsames Fundament (alle vier Wege)</w:t>
      </w:r>
    </w:p>
    <w:p>
      <w:pPr>
        <w:spacing w:after="120" w:line="276"/>
      </w:pPr>
      <w:r>
        <w:rPr>
          <w:b/>
          <w:bCs/>
          <w:sz w:val="21"/>
          <w:szCs w:val="21"/>
        </w:rPr>
        <w:t xml:space="preserve">Verantwortlich ist immer die Schule bzw. der Schulträger</w:t>
      </w:r>
      <w:r>
        <w:rPr>
          <w:sz w:val="21"/>
          <w:szCs w:val="21"/>
        </w:rPr>
        <w:t xml:space="preserve"> — nicht der Tool-Anbieter. Rechtsgrundlage in Baden-Württemberg für Schülerdaten im Bildungsauftrag: Art. 6 Abs. 1 lit. e DSGVO i. V. m. § 1 SchG, § 4 LDSG BW sowie § 115b Abs. 9 SchG; eine Einwilligung ist nicht erforderlich. Für besondere Kategorien (Art. 9) liegt die Schwelle höher.</w:t>
      </w:r>
    </w:p>
    <w:p>
      <w:pPr>
        <w:spacing w:after="120" w:line="276"/>
      </w:pPr>
      <w:r>
        <w:rPr>
          <w:b/>
          <w:bCs/>
          <w:sz w:val="21"/>
          <w:szCs w:val="21"/>
        </w:rPr>
        <w:t xml:space="preserve">Der eigentliche Hebel ist die Datenminimierung (Art. 5 Abs. 1 lit. c). </w:t>
      </w:r>
      <w:r>
        <w:rPr>
          <w:sz w:val="21"/>
          <w:szCs w:val="21"/>
        </w:rPr>
        <w:t xml:space="preserve">Der LfDI Baden-Württemberg betont: Lässt sich eine Aufgabe ohne personenbezogene oder mit anonymisierten Daten erledigen, ist genau das geboten. Übersetzt: Der stärkste Schutz entsteht nicht durch die Tool-Wahl, sondern dadurch, dass keine personenbezogenen Daten in den Prompt gelangen.</w:t>
      </w:r>
    </w:p>
    <w:p>
      <w:pPr>
        <w:spacing w:after="120" w:line="276"/>
      </w:pPr>
      <w:r>
        <w:rPr>
          <w:b/>
          <w:bCs/>
          <w:sz w:val="21"/>
          <w:szCs w:val="21"/>
        </w:rPr>
        <w:t xml:space="preserve">Immer bestehen zudem: </w:t>
      </w:r>
      <w:r>
        <w:rPr>
          <w:sz w:val="21"/>
          <w:szCs w:val="21"/>
        </w:rPr>
        <w:t xml:space="preserve">Verzeichnis von Verarbeitungstätigkeiten (Art. 30), Information der Betroffenen (Art. 13), technisch-organisatorische Maßnahmen (Art. 32), ggf. Datenschutz-Folgenabschätzung (Art. 35) und — bei externen Dienstleistern — ein Auftragsverarbeitungsvertrag (Art. 28).</w:t>
      </w:r>
    </w:p>
    <w:p>
      <w:pPr>
        <w:pStyle w:val="Heading2"/>
        <w:spacing w:after="100" w:before="220"/>
      </w:pPr>
      <w:r>
        <w:rPr>
          <w:b/>
          <w:bCs/>
          <w:color w:val="1F3864"/>
          <w:sz w:val="23"/>
          <w:szCs w:val="23"/>
        </w:rPr>
        <w:t xml:space="preserve">fobizz</w:t>
      </w:r>
    </w:p>
    <w:p>
      <w:pPr>
        <w:spacing w:after="120" w:line="276"/>
      </w:pPr>
      <w:r>
        <w:rPr>
          <w:sz w:val="21"/>
          <w:szCs w:val="21"/>
        </w:rPr>
        <w:t xml:space="preserve">101skills GmbH (Hamburg) wird beim Schuleinsatz als Auftragsverarbeiter tätig; der AVV wird bei der Anmeldung automatisch geschlossen. Serverstandort EU/Deutschland. Schüler:innen nutzen ein Pseudonym ohne Konto; personenbezogene Schülerdaten werden grundsätzlich nicht an die dahinterliegenden Modellanbieter weitergereicht (Ausnahme: optionale Transkription/Handschrifterkennung). Die Drittland-Problematik ist damit am Design entschärft; Restrisiko bleibt der Prompt-Inhalt und die häufig US-eigene Backend-Infrastruktur.</w:t>
      </w:r>
    </w:p>
    <w:p>
      <w:pPr>
        <w:pStyle w:val="Heading2"/>
        <w:spacing w:after="100" w:before="220"/>
      </w:pPr>
      <w:r>
        <w:rPr>
          <w:b/>
          <w:bCs/>
          <w:color w:val="1F3864"/>
          <w:sz w:val="23"/>
          <w:szCs w:val="23"/>
        </w:rPr>
        <w:t xml:space="preserve">Landeslösung AIS.chat</w:t>
      </w:r>
    </w:p>
    <w:p>
      <w:pPr>
        <w:spacing w:after="120" w:line="276"/>
      </w:pPr>
      <w:r>
        <w:rPr>
          <w:sz w:val="21"/>
          <w:szCs w:val="21"/>
        </w:rPr>
        <w:t xml:space="preserve">Ländergemeinsame Lösung aller 16 Bundesländer (bis 20. Mai 2026 „telli"), betrieben vom FWU (Grünwald) als Auftragsverarbeiter, DigitalPakt-finanziert und quelloffen. Anmeldung pseudonymisiert über VIDIS; Eingaben werden nicht zum Training verwendet. Die Modelle (u. a. Llama, Mistral, GPT-Reihe) laufen ausschließlich auf EU-Servern — über die Unterauftragsverarbeiter IONOS (deutsche Gesellschaft) und Microsoft Ireland. In der Regel der sauberste extern bezogene Weg; eine Verarbeitung personenbeziehbarer Daten (Lehrer-IDs, Metadaten) findet dennoch statt, weshalb Art.-13-Information und Verzeichnis-Eintrag nötig bleiben. Für Aufgaben mit Eingabe personenbezogener Daten ist AIS.chat ausdrücklich nicht vorgesehen.</w:t>
      </w:r>
    </w:p>
    <w:p>
      <w:pPr>
        <w:pStyle w:val="Heading2"/>
        <w:spacing w:after="100" w:before="220"/>
      </w:pPr>
      <w:r>
        <w:rPr>
          <w:b/>
          <w:bCs/>
          <w:color w:val="1F3864"/>
          <w:sz w:val="23"/>
          <w:szCs w:val="23"/>
        </w:rPr>
        <w:t xml:space="preserve">deepinfra (API-Dienst)</w:t>
      </w:r>
    </w:p>
    <w:p>
      <w:pPr>
        <w:spacing w:after="120" w:line="276"/>
      </w:pPr>
      <w:r>
        <w:rPr>
          <w:sz w:val="21"/>
          <w:szCs w:val="21"/>
        </w:rPr>
        <w:t xml:space="preserve">DeepInfra Inc. ist eine US-Gesellschaft (Delaware/Palo Alto); die Inferenz läuft in US-Rechenzentren, eine EU-Datenresidenz besteht nicht. Ein direkter API-Aufruf ist damit eine Drittlandübermittlung (Art. 44 ff.) und erfordert AVV, Transfer-Instrument (DPF/SCC), Transfer-Impact-Assessment und — bei Schülerdaten — realistisch eine DSFA. Für den unmittelbaren Schülereinsatz nicht als datenschutzfreundliche Standardoption geeignet.</w:t>
      </w:r>
    </w:p>
    <w:p>
      <w:pPr>
        <w:pStyle w:val="Heading2"/>
        <w:spacing w:after="100" w:before="220"/>
      </w:pPr>
      <w:r>
        <w:rPr>
          <w:b/>
          <w:bCs/>
          <w:color w:val="1F3864"/>
          <w:sz w:val="23"/>
          <w:szCs w:val="23"/>
        </w:rPr>
        <w:t xml:space="preserve">Lokaler Server mit lokalem Modell</w:t>
      </w:r>
    </w:p>
    <w:p>
      <w:pPr>
        <w:spacing w:after="120" w:line="276"/>
      </w:pPr>
      <w:r>
        <w:rPr>
          <w:sz w:val="21"/>
          <w:szCs w:val="21"/>
        </w:rPr>
        <w:t xml:space="preserve">Kein Auftragsverarbeiter, kein externer Empfänger, keine Übermittlung — die Daten verlassen die Schule nicht. AVV, Drittlandthematik und Anbieterabhängigkeit entfallen; das ist die stärkste DSGVO-Position. „Lokal" heißt jedoch nicht „keine DSGVO": Rechtsgrundlage, Verzeichnis, Information und ggf. DSFA gelten weiter, und die Verantwortung für die Sicherheit (Art. 32) liegt vollständig bei der Schule. Die Last verschiebt sich von Anbietersteuerung und Transfer zu eigener Betriebssicherheit.</w:t>
      </w:r>
    </w:p>
    <w:p>
      <w:pPr>
        <w:pStyle w:val="Heading2"/>
        <w:spacing w:after="100" w:before="220"/>
      </w:pPr>
      <w:r>
        <w:rPr>
          <w:b/>
          <w:bCs/>
          <w:color w:val="1F3864"/>
          <w:sz w:val="23"/>
          <w:szCs w:val="23"/>
        </w:rPr>
        <w:t xml:space="preserve">Überblick</w:t>
      </w:r>
    </w:p>
    <w:tbl>
      <w:tblPr>
        <w:tblW w:type="dxa" w:w="902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1750"/>
        <w:gridCol w:w="1750"/>
        <w:gridCol w:w="1150"/>
        <w:gridCol w:w="1720"/>
        <w:gridCol w:w="1350"/>
      </w:tblGrid>
      <w:tr>
        <w:trPr>
          <w:tblHeader/>
        </w:trPr>
        <w:tc>
          <w:tcPr>
            <w:tcW w:type="dxa" w:w="1300"/>
            <w:shd w:fill="1F3864" w:color="auto" w:val="clear"/>
            <w:tcMar>
              <w:top w:type="dxa" w:w="60"/>
              <w:left w:type="dxa" w:w="80"/>
              <w:bottom w:type="dxa" w:w="60"/>
              <w:right w:type="dxa" w:w="80"/>
            </w:tcMar>
          </w:tcPr>
          <w:p>
            <w:pPr>
              <w:spacing w:after="0" w:line="250"/>
              <w:jc w:val="left"/>
            </w:pPr>
            <w:r>
              <w:rPr>
                <w:b/>
                <w:bCs/>
                <w:color w:val="FFFFFF"/>
                <w:sz w:val="17"/>
                <w:szCs w:val="17"/>
              </w:rPr>
              <w:t xml:space="preserve">Zugangsweg</w:t>
            </w:r>
          </w:p>
        </w:tc>
        <w:tc>
          <w:tcPr>
            <w:tcW w:type="dxa" w:w="1750"/>
            <w:shd w:fill="1F3864" w:color="auto" w:val="clear"/>
            <w:tcMar>
              <w:top w:type="dxa" w:w="60"/>
              <w:left w:type="dxa" w:w="80"/>
              <w:bottom w:type="dxa" w:w="60"/>
              <w:right w:type="dxa" w:w="80"/>
            </w:tcMar>
          </w:tcPr>
          <w:p>
            <w:pPr>
              <w:spacing w:after="0" w:line="250"/>
              <w:jc w:val="left"/>
            </w:pPr>
            <w:r>
              <w:rPr>
                <w:b/>
                <w:bCs/>
                <w:color w:val="FFFFFF"/>
                <w:sz w:val="17"/>
                <w:szCs w:val="17"/>
              </w:rPr>
              <w:t xml:space="preserve">Anbieterrolle / AVV</w:t>
            </w:r>
          </w:p>
        </w:tc>
        <w:tc>
          <w:tcPr>
            <w:tcW w:type="dxa" w:w="1750"/>
            <w:shd w:fill="1F3864" w:color="auto" w:val="clear"/>
            <w:tcMar>
              <w:top w:type="dxa" w:w="60"/>
              <w:left w:type="dxa" w:w="80"/>
              <w:bottom w:type="dxa" w:w="60"/>
              <w:right w:type="dxa" w:w="80"/>
            </w:tcMar>
          </w:tcPr>
          <w:p>
            <w:pPr>
              <w:spacing w:after="0" w:line="250"/>
              <w:jc w:val="left"/>
            </w:pPr>
            <w:r>
              <w:rPr>
                <w:b/>
                <w:bCs/>
                <w:color w:val="FFFFFF"/>
                <w:sz w:val="17"/>
                <w:szCs w:val="17"/>
              </w:rPr>
              <w:t xml:space="preserve">Verarbeitungsort</w:t>
            </w:r>
          </w:p>
        </w:tc>
        <w:tc>
          <w:tcPr>
            <w:tcW w:type="dxa" w:w="1150"/>
            <w:shd w:fill="1F3864" w:color="auto" w:val="clear"/>
            <w:tcMar>
              <w:top w:type="dxa" w:w="60"/>
              <w:left w:type="dxa" w:w="80"/>
              <w:bottom w:type="dxa" w:w="60"/>
              <w:right w:type="dxa" w:w="80"/>
            </w:tcMar>
          </w:tcPr>
          <w:p>
            <w:pPr>
              <w:spacing w:after="0" w:line="250"/>
              <w:jc w:val="left"/>
            </w:pPr>
            <w:r>
              <w:rPr>
                <w:b/>
                <w:bCs/>
                <w:color w:val="FFFFFF"/>
                <w:sz w:val="17"/>
                <w:szCs w:val="17"/>
              </w:rPr>
              <w:t xml:space="preserve">Training auf Eingaben</w:t>
            </w:r>
          </w:p>
        </w:tc>
        <w:tc>
          <w:tcPr>
            <w:tcW w:type="dxa" w:w="1720"/>
            <w:shd w:fill="1F3864" w:color="auto" w:val="clear"/>
            <w:tcMar>
              <w:top w:type="dxa" w:w="60"/>
              <w:left w:type="dxa" w:w="80"/>
              <w:bottom w:type="dxa" w:w="60"/>
              <w:right w:type="dxa" w:w="80"/>
            </w:tcMar>
          </w:tcPr>
          <w:p>
            <w:pPr>
              <w:spacing w:after="0" w:line="250"/>
              <w:jc w:val="left"/>
            </w:pPr>
            <w:r>
              <w:rPr>
                <w:b/>
                <w:bCs/>
                <w:color w:val="FFFFFF"/>
                <w:sz w:val="17"/>
                <w:szCs w:val="17"/>
              </w:rPr>
              <w:t xml:space="preserve">US-Jurisdiktion (CLOUD Act)</w:t>
            </w:r>
          </w:p>
        </w:tc>
        <w:tc>
          <w:tcPr>
            <w:tcW w:type="dxa" w:w="1350"/>
            <w:shd w:fill="1F3864" w:color="auto" w:val="clear"/>
            <w:tcMar>
              <w:top w:type="dxa" w:w="60"/>
              <w:left w:type="dxa" w:w="80"/>
              <w:bottom w:type="dxa" w:w="60"/>
              <w:right w:type="dxa" w:w="80"/>
            </w:tcMar>
          </w:tcPr>
          <w:p>
            <w:pPr>
              <w:spacing w:after="0" w:line="250"/>
              <w:jc w:val="center"/>
            </w:pPr>
            <w:r>
              <w:rPr>
                <w:b/>
                <w:bCs/>
                <w:color w:val="FFFFFF"/>
                <w:sz w:val="17"/>
                <w:szCs w:val="17"/>
              </w:rPr>
              <w:t xml:space="preserve">DSGVO-Robustheit</w:t>
            </w:r>
          </w:p>
        </w:tc>
      </w:tr>
      <w:tr>
        <w:tc>
          <w:tcPr>
            <w:tcW w:type="dxa" w:w="1300"/>
            <w:tcMar>
              <w:top w:type="dxa" w:w="60"/>
              <w:left w:type="dxa" w:w="80"/>
              <w:bottom w:type="dxa" w:w="60"/>
              <w:right w:type="dxa" w:w="80"/>
            </w:tcMar>
          </w:tcPr>
          <w:p>
            <w:pPr>
              <w:spacing w:after="0" w:line="250"/>
              <w:jc w:val="left"/>
            </w:pPr>
            <w:r>
              <w:rPr>
                <w:b w:val="false"/>
                <w:bCs w:val="false"/>
                <w:color w:val="000000"/>
                <w:sz w:val="17"/>
                <w:szCs w:val="17"/>
              </w:rPr>
              <w:t xml:space="preserve">fobizz</w:t>
            </w:r>
          </w:p>
        </w:tc>
        <w:tc>
          <w:tcPr>
            <w:tcW w:type="dxa" w:w="1750"/>
            <w:tcMar>
              <w:top w:type="dxa" w:w="60"/>
              <w:left w:type="dxa" w:w="80"/>
              <w:bottom w:type="dxa" w:w="60"/>
              <w:right w:type="dxa" w:w="80"/>
            </w:tcMar>
          </w:tcPr>
          <w:p>
            <w:pPr>
              <w:spacing w:after="0" w:line="250"/>
              <w:jc w:val="left"/>
            </w:pPr>
            <w:r>
              <w:rPr>
                <w:b w:val="false"/>
                <w:bCs w:val="false"/>
                <w:color w:val="000000"/>
                <w:sz w:val="17"/>
                <w:szCs w:val="17"/>
              </w:rPr>
              <w:t xml:space="preserve">Auftragsverarbeiter; AVV automatisch</w:t>
            </w:r>
          </w:p>
        </w:tc>
        <w:tc>
          <w:tcPr>
            <w:tcW w:type="dxa" w:w="1750"/>
            <w:tcMar>
              <w:top w:type="dxa" w:w="60"/>
              <w:left w:type="dxa" w:w="80"/>
              <w:bottom w:type="dxa" w:w="60"/>
              <w:right w:type="dxa" w:w="80"/>
            </w:tcMar>
          </w:tcPr>
          <w:p>
            <w:pPr>
              <w:spacing w:after="0" w:line="250"/>
              <w:jc w:val="left"/>
            </w:pPr>
            <w:r>
              <w:rPr>
                <w:b w:val="false"/>
                <w:bCs w:val="false"/>
                <w:color w:val="000000"/>
                <w:sz w:val="17"/>
                <w:szCs w:val="17"/>
              </w:rPr>
              <w:t xml:space="preserve">EU/DE; Backend-Modelle teils US-Cloud</w:t>
            </w:r>
          </w:p>
        </w:tc>
        <w:tc>
          <w:tcPr>
            <w:tcW w:type="dxa" w:w="1150"/>
            <w:tcMar>
              <w:top w:type="dxa" w:w="60"/>
              <w:left w:type="dxa" w:w="80"/>
              <w:bottom w:type="dxa" w:w="60"/>
              <w:right w:type="dxa" w:w="80"/>
            </w:tcMar>
          </w:tcPr>
          <w:p>
            <w:pPr>
              <w:spacing w:after="0" w:line="250"/>
              <w:jc w:val="left"/>
            </w:pPr>
            <w:r>
              <w:rPr>
                <w:b w:val="false"/>
                <w:bCs w:val="false"/>
                <w:color w:val="000000"/>
                <w:sz w:val="17"/>
                <w:szCs w:val="17"/>
              </w:rPr>
              <w:t xml:space="preserve">nein</w:t>
            </w:r>
          </w:p>
        </w:tc>
        <w:tc>
          <w:tcPr>
            <w:tcW w:type="dxa" w:w="1720"/>
            <w:tcMar>
              <w:top w:type="dxa" w:w="60"/>
              <w:left w:type="dxa" w:w="80"/>
              <w:bottom w:type="dxa" w:w="60"/>
              <w:right w:type="dxa" w:w="80"/>
            </w:tcMar>
          </w:tcPr>
          <w:p>
            <w:pPr>
              <w:spacing w:after="0" w:line="250"/>
              <w:jc w:val="left"/>
            </w:pPr>
            <w:r>
              <w:rPr>
                <w:b w:val="false"/>
                <w:bCs w:val="false"/>
                <w:color w:val="000000"/>
                <w:sz w:val="17"/>
                <w:szCs w:val="17"/>
              </w:rPr>
              <w:t xml:space="preserve">mittelbar (Backend-Infrastruktur)</w:t>
            </w:r>
          </w:p>
        </w:tc>
        <w:tc>
          <w:tcPr>
            <w:tcW w:type="dxa" w:w="1350"/>
            <w:shd w:fill="D9E8C6" w:color="auto" w:val="clear"/>
            <w:tcMar>
              <w:top w:type="dxa" w:w="60"/>
              <w:left w:type="dxa" w:w="80"/>
              <w:bottom w:type="dxa" w:w="60"/>
              <w:right w:type="dxa" w:w="80"/>
            </w:tcMar>
          </w:tcPr>
          <w:p>
            <w:pPr>
              <w:spacing w:after="0" w:line="250"/>
              <w:jc w:val="center"/>
            </w:pPr>
            <w:r>
              <w:rPr>
                <w:b w:val="false"/>
                <w:bCs w:val="false"/>
                <w:color w:val="000000"/>
                <w:sz w:val="17"/>
                <w:szCs w:val="17"/>
              </w:rPr>
              <w:t xml:space="preserve">solide</w:t>
            </w:r>
          </w:p>
        </w:tc>
      </w:tr>
      <w:tr>
        <w:tc>
          <w:tcPr>
            <w:tcW w:type="dxa" w:w="1300"/>
            <w:tcMar>
              <w:top w:type="dxa" w:w="60"/>
              <w:left w:type="dxa" w:w="80"/>
              <w:bottom w:type="dxa" w:w="60"/>
              <w:right w:type="dxa" w:w="80"/>
            </w:tcMar>
          </w:tcPr>
          <w:p>
            <w:pPr>
              <w:spacing w:after="0" w:line="250"/>
              <w:jc w:val="left"/>
            </w:pPr>
            <w:r>
              <w:rPr>
                <w:b w:val="false"/>
                <w:bCs w:val="false"/>
                <w:color w:val="000000"/>
                <w:sz w:val="17"/>
                <w:szCs w:val="17"/>
              </w:rPr>
              <w:t xml:space="preserve">AIS.chat (FWU)</w:t>
            </w:r>
          </w:p>
        </w:tc>
        <w:tc>
          <w:tcPr>
            <w:tcW w:type="dxa" w:w="1750"/>
            <w:tcMar>
              <w:top w:type="dxa" w:w="60"/>
              <w:left w:type="dxa" w:w="80"/>
              <w:bottom w:type="dxa" w:w="60"/>
              <w:right w:type="dxa" w:w="80"/>
            </w:tcMar>
          </w:tcPr>
          <w:p>
            <w:pPr>
              <w:spacing w:after="0" w:line="250"/>
              <w:jc w:val="left"/>
            </w:pPr>
            <w:r>
              <w:rPr>
                <w:b w:val="false"/>
                <w:bCs w:val="false"/>
                <w:color w:val="000000"/>
                <w:sz w:val="17"/>
                <w:szCs w:val="17"/>
              </w:rPr>
              <w:t xml:space="preserve">Auftragsverarbeiter; AVV über VIDIS</w:t>
            </w:r>
          </w:p>
        </w:tc>
        <w:tc>
          <w:tcPr>
            <w:tcW w:type="dxa" w:w="1750"/>
            <w:tcMar>
              <w:top w:type="dxa" w:w="60"/>
              <w:left w:type="dxa" w:w="80"/>
              <w:bottom w:type="dxa" w:w="60"/>
              <w:right w:type="dxa" w:w="80"/>
            </w:tcMar>
          </w:tcPr>
          <w:p>
            <w:pPr>
              <w:spacing w:after="0" w:line="250"/>
              <w:jc w:val="left"/>
            </w:pPr>
            <w:r>
              <w:rPr>
                <w:b w:val="false"/>
                <w:bCs w:val="false"/>
                <w:color w:val="000000"/>
                <w:sz w:val="17"/>
                <w:szCs w:val="17"/>
              </w:rPr>
              <w:t xml:space="preserve">EU (IONOS + Microsoft Ireland)</w:t>
            </w:r>
          </w:p>
        </w:tc>
        <w:tc>
          <w:tcPr>
            <w:tcW w:type="dxa" w:w="1150"/>
            <w:tcMar>
              <w:top w:type="dxa" w:w="60"/>
              <w:left w:type="dxa" w:w="80"/>
              <w:bottom w:type="dxa" w:w="60"/>
              <w:right w:type="dxa" w:w="80"/>
            </w:tcMar>
          </w:tcPr>
          <w:p>
            <w:pPr>
              <w:spacing w:after="0" w:line="250"/>
              <w:jc w:val="left"/>
            </w:pPr>
            <w:r>
              <w:rPr>
                <w:b w:val="false"/>
                <w:bCs w:val="false"/>
                <w:color w:val="000000"/>
                <w:sz w:val="17"/>
                <w:szCs w:val="17"/>
              </w:rPr>
              <w:t xml:space="preserve">nein</w:t>
            </w:r>
          </w:p>
        </w:tc>
        <w:tc>
          <w:tcPr>
            <w:tcW w:type="dxa" w:w="1720"/>
            <w:tcMar>
              <w:top w:type="dxa" w:w="60"/>
              <w:left w:type="dxa" w:w="80"/>
              <w:bottom w:type="dxa" w:w="60"/>
              <w:right w:type="dxa" w:w="80"/>
            </w:tcMar>
          </w:tcPr>
          <w:p>
            <w:pPr>
              <w:spacing w:after="0" w:line="250"/>
              <w:jc w:val="left"/>
            </w:pPr>
            <w:r>
              <w:rPr>
                <w:b w:val="false"/>
                <w:bCs w:val="false"/>
                <w:color w:val="000000"/>
                <w:sz w:val="17"/>
                <w:szCs w:val="17"/>
              </w:rPr>
              <w:t xml:space="preserve">teilweise (Microsoft-Anteil)</w:t>
            </w:r>
          </w:p>
        </w:tc>
        <w:tc>
          <w:tcPr>
            <w:tcW w:type="dxa" w:w="1350"/>
            <w:shd w:fill="EAE3B0" w:color="auto" w:val="clear"/>
            <w:tcMar>
              <w:top w:type="dxa" w:w="60"/>
              <w:left w:type="dxa" w:w="80"/>
              <w:bottom w:type="dxa" w:w="60"/>
              <w:right w:type="dxa" w:w="80"/>
            </w:tcMar>
          </w:tcPr>
          <w:p>
            <w:pPr>
              <w:spacing w:after="0" w:line="250"/>
              <w:jc w:val="center"/>
            </w:pPr>
            <w:r>
              <w:rPr>
                <w:b w:val="false"/>
                <w:bCs w:val="false"/>
                <w:color w:val="000000"/>
                <w:sz w:val="17"/>
                <w:szCs w:val="17"/>
              </w:rPr>
              <w:t xml:space="preserve">hoch</w:t>
            </w:r>
          </w:p>
        </w:tc>
      </w:tr>
      <w:tr>
        <w:tc>
          <w:tcPr>
            <w:tcW w:type="dxa" w:w="1300"/>
            <w:tcMar>
              <w:top w:type="dxa" w:w="60"/>
              <w:left w:type="dxa" w:w="80"/>
              <w:bottom w:type="dxa" w:w="60"/>
              <w:right w:type="dxa" w:w="80"/>
            </w:tcMar>
          </w:tcPr>
          <w:p>
            <w:pPr>
              <w:spacing w:after="0" w:line="250"/>
              <w:jc w:val="left"/>
            </w:pPr>
            <w:r>
              <w:rPr>
                <w:b w:val="false"/>
                <w:bCs w:val="false"/>
                <w:color w:val="000000"/>
                <w:sz w:val="17"/>
                <w:szCs w:val="17"/>
              </w:rPr>
              <w:t xml:space="preserve">deepinfra (API)</w:t>
            </w:r>
          </w:p>
        </w:tc>
        <w:tc>
          <w:tcPr>
            <w:tcW w:type="dxa" w:w="1750"/>
            <w:tcMar>
              <w:top w:type="dxa" w:w="60"/>
              <w:left w:type="dxa" w:w="80"/>
              <w:bottom w:type="dxa" w:w="60"/>
              <w:right w:type="dxa" w:w="80"/>
            </w:tcMar>
          </w:tcPr>
          <w:p>
            <w:pPr>
              <w:spacing w:after="0" w:line="250"/>
              <w:jc w:val="left"/>
            </w:pPr>
            <w:r>
              <w:rPr>
                <w:b w:val="false"/>
                <w:bCs w:val="false"/>
                <w:color w:val="000000"/>
                <w:sz w:val="17"/>
                <w:szCs w:val="17"/>
              </w:rPr>
              <w:t xml:space="preserve">Auftragsverarbeiter; AVV + SCC nötig</w:t>
            </w:r>
          </w:p>
        </w:tc>
        <w:tc>
          <w:tcPr>
            <w:tcW w:type="dxa" w:w="1750"/>
            <w:tcMar>
              <w:top w:type="dxa" w:w="60"/>
              <w:left w:type="dxa" w:w="80"/>
              <w:bottom w:type="dxa" w:w="60"/>
              <w:right w:type="dxa" w:w="80"/>
            </w:tcMar>
          </w:tcPr>
          <w:p>
            <w:pPr>
              <w:spacing w:after="0" w:line="250"/>
              <w:jc w:val="left"/>
            </w:pPr>
            <w:r>
              <w:rPr>
                <w:b w:val="false"/>
                <w:bCs w:val="false"/>
                <w:color w:val="000000"/>
                <w:sz w:val="17"/>
                <w:szCs w:val="17"/>
              </w:rPr>
              <w:t xml:space="preserve">USA (keine EU-Residenz)</w:t>
            </w:r>
          </w:p>
        </w:tc>
        <w:tc>
          <w:tcPr>
            <w:tcW w:type="dxa" w:w="1150"/>
            <w:tcMar>
              <w:top w:type="dxa" w:w="60"/>
              <w:left w:type="dxa" w:w="80"/>
              <w:bottom w:type="dxa" w:w="60"/>
              <w:right w:type="dxa" w:w="80"/>
            </w:tcMar>
          </w:tcPr>
          <w:p>
            <w:pPr>
              <w:spacing w:after="0" w:line="250"/>
              <w:jc w:val="left"/>
            </w:pPr>
            <w:r>
              <w:rPr>
                <w:b w:val="false"/>
                <w:bCs w:val="false"/>
                <w:color w:val="000000"/>
                <w:sz w:val="17"/>
                <w:szCs w:val="17"/>
              </w:rPr>
              <w:t xml:space="preserve">modellabhängig</w:t>
            </w:r>
          </w:p>
        </w:tc>
        <w:tc>
          <w:tcPr>
            <w:tcW w:type="dxa" w:w="1720"/>
            <w:tcMar>
              <w:top w:type="dxa" w:w="60"/>
              <w:left w:type="dxa" w:w="80"/>
              <w:bottom w:type="dxa" w:w="60"/>
              <w:right w:type="dxa" w:w="80"/>
            </w:tcMar>
          </w:tcPr>
          <w:p>
            <w:pPr>
              <w:spacing w:after="0" w:line="250"/>
              <w:jc w:val="left"/>
            </w:pPr>
            <w:r>
              <w:rPr>
                <w:b w:val="false"/>
                <w:bCs w:val="false"/>
                <w:color w:val="000000"/>
                <w:sz w:val="17"/>
                <w:szCs w:val="17"/>
              </w:rPr>
              <w:t xml:space="preserve">unmittelbar</w:t>
            </w:r>
          </w:p>
        </w:tc>
        <w:tc>
          <w:tcPr>
            <w:tcW w:type="dxa" w:w="1350"/>
            <w:shd w:fill="F4B6AE" w:color="auto" w:val="clear"/>
            <w:tcMar>
              <w:top w:type="dxa" w:w="60"/>
              <w:left w:type="dxa" w:w="80"/>
              <w:bottom w:type="dxa" w:w="60"/>
              <w:right w:type="dxa" w:w="80"/>
            </w:tcMar>
          </w:tcPr>
          <w:p>
            <w:pPr>
              <w:spacing w:after="0" w:line="250"/>
              <w:jc w:val="center"/>
            </w:pPr>
            <w:r>
              <w:rPr>
                <w:b w:val="false"/>
                <w:bCs w:val="false"/>
                <w:color w:val="000000"/>
                <w:sz w:val="17"/>
                <w:szCs w:val="17"/>
              </w:rPr>
              <w:t xml:space="preserve">kritisch</w:t>
            </w:r>
          </w:p>
        </w:tc>
      </w:tr>
      <w:tr>
        <w:tc>
          <w:tcPr>
            <w:tcW w:type="dxa" w:w="1300"/>
            <w:tcMar>
              <w:top w:type="dxa" w:w="60"/>
              <w:left w:type="dxa" w:w="80"/>
              <w:bottom w:type="dxa" w:w="60"/>
              <w:right w:type="dxa" w:w="80"/>
            </w:tcMar>
          </w:tcPr>
          <w:p>
            <w:pPr>
              <w:spacing w:after="0" w:line="250"/>
              <w:jc w:val="left"/>
            </w:pPr>
            <w:r>
              <w:rPr>
                <w:b w:val="false"/>
                <w:bCs w:val="false"/>
                <w:color w:val="000000"/>
                <w:sz w:val="17"/>
                <w:szCs w:val="17"/>
              </w:rPr>
              <w:t xml:space="preserve">lokaler Server</w:t>
            </w:r>
          </w:p>
        </w:tc>
        <w:tc>
          <w:tcPr>
            <w:tcW w:type="dxa" w:w="1750"/>
            <w:tcMar>
              <w:top w:type="dxa" w:w="60"/>
              <w:left w:type="dxa" w:w="80"/>
              <w:bottom w:type="dxa" w:w="60"/>
              <w:right w:type="dxa" w:w="80"/>
            </w:tcMar>
          </w:tcPr>
          <w:p>
            <w:pPr>
              <w:spacing w:after="0" w:line="250"/>
              <w:jc w:val="left"/>
            </w:pPr>
            <w:r>
              <w:rPr>
                <w:b w:val="false"/>
                <w:bCs w:val="false"/>
                <w:color w:val="000000"/>
                <w:sz w:val="17"/>
                <w:szCs w:val="17"/>
              </w:rPr>
              <w:t xml:space="preserve">kein Auftragsverarbeiter</w:t>
            </w:r>
          </w:p>
        </w:tc>
        <w:tc>
          <w:tcPr>
            <w:tcW w:type="dxa" w:w="1750"/>
            <w:tcMar>
              <w:top w:type="dxa" w:w="60"/>
              <w:left w:type="dxa" w:w="80"/>
              <w:bottom w:type="dxa" w:w="60"/>
              <w:right w:type="dxa" w:w="80"/>
            </w:tcMar>
          </w:tcPr>
          <w:p>
            <w:pPr>
              <w:spacing w:after="0" w:line="250"/>
              <w:jc w:val="left"/>
            </w:pPr>
            <w:r>
              <w:rPr>
                <w:b w:val="false"/>
                <w:bCs w:val="false"/>
                <w:color w:val="000000"/>
                <w:sz w:val="17"/>
                <w:szCs w:val="17"/>
              </w:rPr>
              <w:t xml:space="preserve">on-premise (EU)</w:t>
            </w:r>
          </w:p>
        </w:tc>
        <w:tc>
          <w:tcPr>
            <w:tcW w:type="dxa" w:w="1150"/>
            <w:tcMar>
              <w:top w:type="dxa" w:w="60"/>
              <w:left w:type="dxa" w:w="80"/>
              <w:bottom w:type="dxa" w:w="60"/>
              <w:right w:type="dxa" w:w="80"/>
            </w:tcMar>
          </w:tcPr>
          <w:p>
            <w:pPr>
              <w:spacing w:after="0" w:line="250"/>
              <w:jc w:val="left"/>
            </w:pPr>
            <w:r>
              <w:rPr>
                <w:b w:val="false"/>
                <w:bCs w:val="false"/>
                <w:color w:val="000000"/>
                <w:sz w:val="17"/>
                <w:szCs w:val="17"/>
              </w:rPr>
              <w:t xml:space="preserve">nein</w:t>
            </w:r>
          </w:p>
        </w:tc>
        <w:tc>
          <w:tcPr>
            <w:tcW w:type="dxa" w:w="1720"/>
            <w:tcMar>
              <w:top w:type="dxa" w:w="60"/>
              <w:left w:type="dxa" w:w="80"/>
              <w:bottom w:type="dxa" w:w="60"/>
              <w:right w:type="dxa" w:w="80"/>
            </w:tcMar>
          </w:tcPr>
          <w:p>
            <w:pPr>
              <w:spacing w:after="0" w:line="250"/>
              <w:jc w:val="left"/>
            </w:pPr>
            <w:r>
              <w:rPr>
                <w:b w:val="false"/>
                <w:bCs w:val="false"/>
                <w:color w:val="000000"/>
                <w:sz w:val="17"/>
                <w:szCs w:val="17"/>
              </w:rPr>
              <w:t xml:space="preserve">keine</w:t>
            </w:r>
          </w:p>
        </w:tc>
        <w:tc>
          <w:tcPr>
            <w:tcW w:type="dxa" w:w="1350"/>
            <w:shd w:fill="C6E0B4" w:color="auto" w:val="clear"/>
            <w:tcMar>
              <w:top w:type="dxa" w:w="60"/>
              <w:left w:type="dxa" w:w="80"/>
              <w:bottom w:type="dxa" w:w="60"/>
              <w:right w:type="dxa" w:w="80"/>
            </w:tcMar>
          </w:tcPr>
          <w:p>
            <w:pPr>
              <w:spacing w:after="0" w:line="250"/>
              <w:jc w:val="center"/>
            </w:pPr>
            <w:r>
              <w:rPr>
                <w:b w:val="false"/>
                <w:bCs w:val="false"/>
                <w:color w:val="000000"/>
                <w:sz w:val="17"/>
                <w:szCs w:val="17"/>
              </w:rPr>
              <w:t xml:space="preserve">am höchsten</w:t>
            </w:r>
          </w:p>
        </w:tc>
      </w:tr>
    </w:tbl>
    <w:p>
      <w:pPr>
        <w:spacing w:after="120" w:before="80"/>
      </w:pPr>
      <w:r>
        <w:rPr>
          <w:i/>
          <w:iCs/>
          <w:color w:val="595959"/>
          <w:sz w:val="17"/>
          <w:szCs w:val="17"/>
        </w:rPr>
        <w:t xml:space="preserve">Die Ampel bewertet die datenschutzrechtliche Robustheit für den Einsatz mit Schülerdaten. Sie ersetzt keine Einzelfallprüfung.</w:t>
      </w:r>
    </w:p>
    <w:p>
      <w:pPr>
        <w:pStyle w:val="Heading1"/>
        <w:spacing w:after="120" w:before="300"/>
      </w:pPr>
      <w:r>
        <w:rPr>
          <w:b/>
          <w:bCs/>
          <w:color w:val="1F3864"/>
          <w:sz w:val="27"/>
          <w:szCs w:val="27"/>
        </w:rPr>
        <w:t xml:space="preserve">5. Datenresidenz ist nicht Datensouveränität: der CLOUD Act</w:t>
      </w:r>
    </w:p>
    <w:p>
      <w:pPr>
        <w:spacing w:after="120" w:line="276"/>
      </w:pPr>
      <w:r>
        <w:rPr>
          <w:sz w:val="21"/>
          <w:szCs w:val="21"/>
        </w:rPr>
        <w:t xml:space="preserve">Entscheidend ist nicht, </w:t>
      </w:r>
      <w:r>
        <w:rPr>
          <w:i/>
          <w:iCs/>
          <w:sz w:val="21"/>
          <w:szCs w:val="21"/>
        </w:rPr>
        <w:t xml:space="preserve">wo</w:t>
      </w:r>
      <w:r>
        <w:rPr>
          <w:sz w:val="21"/>
          <w:szCs w:val="21"/>
        </w:rPr>
        <w:t xml:space="preserve"> Daten liegen, sondern </w:t>
      </w:r>
      <w:r>
        <w:rPr>
          <w:i/>
          <w:iCs/>
          <w:sz w:val="21"/>
          <w:szCs w:val="21"/>
        </w:rPr>
        <w:t xml:space="preserve">wessen Jurisdiktion</w:t>
      </w:r>
      <w:r>
        <w:rPr>
          <w:sz w:val="21"/>
          <w:szCs w:val="21"/>
        </w:rPr>
        <w:t xml:space="preserve"> der Verarbeiter unterliegt. Der US-CLOUD-Act (2018) verpflichtet US-Unternehmen und ihre Tochtergesellschaften weltweit zur Herausgabe von Daten auf gültige US-Anordnung — unabhängig vom Speicherort. Damit fällt auch Microsoft Ireland als Tochter der Microsoft Corp. unter US-Recht, trotz EU-Rechenzentrum.</w:t>
      </w:r>
    </w:p>
    <w:p>
      <w:pPr>
        <w:spacing w:after="120" w:line="276"/>
      </w:pPr>
      <w:r>
        <w:rPr>
          <w:sz w:val="21"/>
          <w:szCs w:val="21"/>
        </w:rPr>
        <w:t xml:space="preserve">Belegt unter Eid: Am 10. Juni 2025 räumte Anton Carniaux (Chefjustiziar Microsoft France) vor dem französischen Senat ein, er könne nicht garantieren, dass EU-Bürgerdaten aus EU-Rechenzentren nicht an US-Behörden gelangen — </w:t>
      </w:r>
      <w:r>
        <w:rPr>
          <w:i/>
          <w:iCs/>
          <w:sz w:val="21"/>
          <w:szCs w:val="21"/>
        </w:rPr>
        <w:t xml:space="preserve">„Nein, das kann ich nicht garantieren."</w:t>
      </w:r>
      <w:r>
        <w:rPr>
          <w:sz w:val="21"/>
          <w:szCs w:val="21"/>
        </w:rPr>
        <w:t xml:space="preserve"> Bei formal gültiger Anordnung sei Microsoft zur Herausgabe verpflichtet. Dieselbe Logik gilt für AWS und Google.</w:t>
      </w:r>
    </w:p>
    <w:p>
      <w:pPr>
        <w:spacing w:after="120" w:line="276"/>
      </w:pPr>
      <w:r>
        <w:rPr>
          <w:sz w:val="21"/>
          <w:szCs w:val="21"/>
        </w:rPr>
        <w:t xml:space="preserve">Für die DSGVO ist das nach Schrems-II-Logik entscheidend: Schon die </w:t>
      </w:r>
      <w:r>
        <w:rPr>
          <w:b/>
          <w:bCs/>
          <w:sz w:val="21"/>
          <w:szCs w:val="21"/>
        </w:rPr>
        <w:t xml:space="preserve">unheilbare Möglichkeit</w:t>
      </w:r>
      <w:r>
        <w:rPr>
          <w:sz w:val="21"/>
          <w:szCs w:val="21"/>
        </w:rPr>
        <w:t xml:space="preserve"> eines Zugriffs ohne EU-gleichwertigen Rechtsschutz genügt, um das Schutzniveau zu senken — Verschlüsselung und EU-Hosting können das nicht überwinden. Das EU-US Data Privacy Framework heilt dies nicht: Es adressiert die nachrichtendienstliche Ebene, nicht die strafrechtliche CLOUD-Act-Herausgabe. Das DPF ist überdies formal gültig, aber nach dem Urteil Trump v. Slaughter (29. Juni 2026) und einem anhängigen EuGH-Verfahren erkennbar fragil.</w:t>
      </w:r>
    </w:p>
    <w:p>
      <w:pPr>
        <w:spacing w:after="120" w:line="276"/>
      </w:pPr>
      <w:r>
        <w:rPr>
          <w:sz w:val="21"/>
          <w:szCs w:val="21"/>
        </w:rPr>
        <w:t xml:space="preserve">Auf dieser Achse ist die </w:t>
      </w:r>
      <w:r>
        <w:rPr>
          <w:b/>
          <w:bCs/>
          <w:sz w:val="21"/>
          <w:szCs w:val="21"/>
        </w:rPr>
        <w:t xml:space="preserve">Kette</w:t>
      </w:r>
      <w:r>
        <w:rPr>
          <w:sz w:val="21"/>
          <w:szCs w:val="21"/>
        </w:rPr>
        <w:t xml:space="preserve"> entscheidend, nicht das Etikett: AIS.chat ist gespalten — der IONOS-Anteil ist souverän, der Microsoft-Ireland-Anteil exponiert; fobizz ist über Azure/AWS-Backends ähnlich betroffen; deepinfra ist maximal exponiert. Nur die lokale Lösung steht strukturell außerhalb der US-Jurisdiktion.</w:t>
      </w:r>
    </w:p>
    <w:p>
      <w:pPr>
        <w:pStyle w:val="Heading1"/>
        <w:spacing w:after="120" w:before="300"/>
      </w:pPr>
      <w:r>
        <w:rPr>
          <w:b/>
          <w:bCs/>
          <w:color w:val="1F3864"/>
          <w:sz w:val="27"/>
          <w:szCs w:val="27"/>
        </w:rPr>
        <w:t xml:space="preserve">6. Pseudonymisierung ist nicht Anonymisierung</w:t>
      </w:r>
    </w:p>
    <w:p>
      <w:pPr>
        <w:spacing w:after="120" w:line="276"/>
      </w:pPr>
      <w:r>
        <w:rPr>
          <w:sz w:val="21"/>
          <w:szCs w:val="21"/>
        </w:rPr>
        <w:t xml:space="preserve">LLMs leiten aus reinem Text personenbezogene Merkmale ab. Die Studie Staab et al. („Beyond Memorization", ETH Zürich, ICLR 2024) zeigt Attributinferenz (Ort, Geschlecht, Alter, Einkommen) mit bis zu 85 % Top-1- und 95,8 % Top-3-Genauigkeit — und dass Textanonymisierung als Schutz weitgehend wirkungslos ist. „Pseudonym" schützt somit nicht vor Profilbildung.</w:t>
      </w:r>
    </w:p>
    <w:p>
      <w:pPr>
        <w:spacing w:after="120" w:line="276"/>
      </w:pPr>
      <w:r>
        <w:rPr>
          <w:sz w:val="21"/>
          <w:szCs w:val="21"/>
        </w:rPr>
        <w:t xml:space="preserve">Rechtlich greift das EuGH-Urteil C-413/23 P (4. September 2025): Personenbezug ist </w:t>
      </w:r>
      <w:r>
        <w:rPr>
          <w:b/>
          <w:bCs/>
          <w:sz w:val="21"/>
          <w:szCs w:val="21"/>
        </w:rPr>
        <w:t xml:space="preserve">relativ</w:t>
      </w:r>
      <w:r>
        <w:rPr>
          <w:sz w:val="21"/>
          <w:szCs w:val="21"/>
        </w:rPr>
        <w:t xml:space="preserve">. Pseudonyme Daten bleiben personenbezogen für jede Stelle, die über Mittel verfügt, die </w:t>
      </w:r>
      <w:r>
        <w:rPr>
          <w:i/>
          <w:iCs/>
          <w:sz w:val="21"/>
          <w:szCs w:val="21"/>
        </w:rPr>
        <w:t xml:space="preserve">vernünftigerweise</w:t>
      </w:r>
      <w:r>
        <w:rPr>
          <w:sz w:val="21"/>
          <w:szCs w:val="21"/>
        </w:rPr>
        <w:t xml:space="preserve"> zur Re-Identifizierung eingesetzt werden können. Verfügt ausgerechnet der verarbeitende Modellanbieter über ein Profil desselben Nutzers, kann die „relative Anonymität" kippen — die pseudonymen Prompt-Inhalte bleiben dann auch beim Anbieter personenbezogen, und die CLOUD-Act-Exposition betrifft eben personenbezogene Daten.</w:t>
      </w:r>
    </w:p>
    <w:p>
      <w:pPr>
        <w:spacing w:after="120" w:line="276"/>
      </w:pPr>
      <w:r>
        <w:rPr>
          <w:b/>
          <w:bCs/>
          <w:sz w:val="21"/>
          <w:szCs w:val="21"/>
        </w:rPr>
        <w:t xml:space="preserve">Einzuhegen: </w:t>
      </w:r>
      <w:r>
        <w:rPr>
          <w:sz w:val="21"/>
          <w:szCs w:val="21"/>
        </w:rPr>
        <w:t xml:space="preserve">Die Fähigkeit zur Attributinferenz ist belegt; die individuelle Zuordnung „welcher konkrete Nutzer" ist ein Authorship-Linkage-Problem, das eine Referenzdatenbank, aktives Matching, Zugriff auf beide Korpora und hinreichend Text voraussetzt. API- und Consumer-Produkte sind vertraglich getrennt. Es handelt sich also um ein ernst zu nehmendes, forschungsgestütztes Risiko — nicht um einen belegten Automatismus.</w:t>
      </w:r>
    </w:p>
    <w:p>
      <w:pPr>
        <w:spacing w:after="120" w:line="276"/>
      </w:pPr>
      <w:r>
        <w:rPr>
          <w:b/>
          <w:bCs/>
          <w:sz w:val="21"/>
          <w:szCs w:val="21"/>
        </w:rPr>
        <w:t xml:space="preserve">Klarstellung zur Emotionsverarbeitung: </w:t>
      </w:r>
      <w:r>
        <w:rPr>
          <w:sz w:val="21"/>
          <w:szCs w:val="21"/>
        </w:rPr>
        <w:t xml:space="preserve">Ein Textmodell, das aus getippten Wörtern auf Stimmung schließt, ist keine „Emotionserkennung" im Sinne der KI-VO. Deren Emotions-Regeln (Art. 3 Nr. 39; Verbot Art. 5 Abs. 1 lit. f; Hochrisiko Anhang III; Transparenz Art. 50 Abs. 3) setzen </w:t>
      </w:r>
      <w:r>
        <w:rPr>
          <w:b/>
          <w:bCs/>
          <w:sz w:val="21"/>
          <w:szCs w:val="21"/>
        </w:rPr>
        <w:t xml:space="preserve">biometrische Daten</w:t>
      </w:r>
      <w:r>
        <w:rPr>
          <w:sz w:val="21"/>
          <w:szCs w:val="21"/>
        </w:rPr>
        <w:t xml:space="preserve"> voraus (Gesicht, Stimme, Körpersignale). Reine Textanalyse überschreitet diese Schwelle nicht — der korrekte Prüfort ist die DSGVO (Profiling, ggf. Art. 9), nicht die KI-VO-Emotionsschiene. Erst Audio-Eingaben würden die biometrische Schwelle berühren.</w:t>
      </w:r>
    </w:p>
    <w:p>
      <w:pPr>
        <w:pStyle w:val="Heading1"/>
        <w:spacing w:after="120" w:before="300"/>
      </w:pPr>
      <w:r>
        <w:rPr>
          <w:b/>
          <w:bCs/>
          <w:color w:val="1F3864"/>
          <w:sz w:val="27"/>
          <w:szCs w:val="27"/>
        </w:rPr>
        <w:t xml:space="preserve">7. Bewertung und Handlungsempfehlungen</w:t>
      </w:r>
    </w:p>
    <w:p>
      <w:pPr>
        <w:spacing w:after="120" w:line="276"/>
      </w:pPr>
      <w:r>
        <w:rPr>
          <w:b/>
          <w:bCs/>
          <w:sz w:val="21"/>
          <w:szCs w:val="21"/>
        </w:rPr>
        <w:t xml:space="preserve">Rangfolge nach DSGVO-Robustheit für den Einsatz mit Schülerdaten: </w:t>
      </w:r>
      <w:r>
        <w:rPr>
          <w:sz w:val="21"/>
          <w:szCs w:val="21"/>
        </w:rPr>
        <w:t xml:space="preserve">lokales Hosting &gt; AIS.chat &gt; fobizz &gt; deepinfra. </w:t>
      </w:r>
      <w:r>
        <w:rPr>
          <w:sz w:val="21"/>
          <w:szCs w:val="21"/>
        </w:rPr>
        <w:t xml:space="preserve">Unter dem Souveränitätskriterium (US-Jurisdiktion) löst sich ein etwaiger Gleichstand auf: Nur die lokale Lösung ist der US-Jurisdiktion strukturell entzogen.</w:t>
      </w:r>
    </w:p>
    <w:p>
      <w:pPr>
        <w:pStyle w:val="ListParagraph"/>
        <w:numPr>
          <w:ilvl w:val="0"/>
          <w:numId w:val="3"/>
        </w:numPr>
        <w:spacing w:after="90" w:line="272"/>
      </w:pPr>
      <w:r>
        <w:rPr>
          <w:b/>
          <w:bCs/>
          <w:sz w:val="21"/>
          <w:szCs w:val="21"/>
        </w:rPr>
        <w:t xml:space="preserve">Keine personenbezogenen Daten in Prompts. </w:t>
      </w:r>
      <w:r>
        <w:rPr>
          <w:sz w:val="21"/>
          <w:szCs w:val="21"/>
        </w:rPr>
        <w:t xml:space="preserve">Die wirksamste und tool-übergreifende Maßnahme; sie senkt das Risiko in jedem Szenario.</w:t>
      </w:r>
    </w:p>
    <w:p>
      <w:pPr>
        <w:pStyle w:val="ListParagraph"/>
        <w:numPr>
          <w:ilvl w:val="0"/>
          <w:numId w:val="3"/>
        </w:numPr>
        <w:spacing w:after="90" w:line="272"/>
      </w:pPr>
      <w:r>
        <w:rPr>
          <w:b/>
          <w:bCs/>
          <w:sz w:val="21"/>
          <w:szCs w:val="21"/>
        </w:rPr>
        <w:t xml:space="preserve">Souveränität nach der Kette beurteilen, nicht nach dem Etikett. </w:t>
      </w:r>
      <w:r>
        <w:rPr>
          <w:sz w:val="21"/>
          <w:szCs w:val="21"/>
        </w:rPr>
        <w:t xml:space="preserve">„EU-Server" heißt nicht automatisch „außerhalb US-Zugriff"; maßgeblich ist, ob eine US-kontrollierte Stelle in der Verarbeitungskette steht.</w:t>
      </w:r>
    </w:p>
    <w:p>
      <w:pPr>
        <w:pStyle w:val="ListParagraph"/>
        <w:numPr>
          <w:ilvl w:val="0"/>
          <w:numId w:val="3"/>
        </w:numPr>
        <w:spacing w:after="90" w:line="272"/>
      </w:pPr>
      <w:r>
        <w:rPr>
          <w:b/>
          <w:bCs/>
          <w:sz w:val="21"/>
          <w:szCs w:val="21"/>
        </w:rPr>
        <w:t xml:space="preserve">Lokales Hosting als datenschutzstärkste Option verankern </w:t>
      </w:r>
      <w:r>
        <w:rPr>
          <w:sz w:val="21"/>
          <w:szCs w:val="21"/>
        </w:rPr>
        <w:t xml:space="preserve">— insbesondere für sensible oder personenbeziehbare Verarbeitungen; im Gegenzug Verantwortung für Betriebssicherheit (Art. 32) einplanen.</w:t>
      </w:r>
    </w:p>
    <w:p>
      <w:pPr>
        <w:pStyle w:val="ListParagraph"/>
        <w:numPr>
          <w:ilvl w:val="0"/>
          <w:numId w:val="3"/>
        </w:numPr>
        <w:spacing w:after="90" w:line="272"/>
      </w:pPr>
      <w:r>
        <w:rPr>
          <w:b/>
          <w:bCs/>
          <w:sz w:val="21"/>
          <w:szCs w:val="21"/>
        </w:rPr>
        <w:t xml:space="preserve">KI-Kompetenz dokumentiert vermitteln (Art. 4) </w:t>
      </w:r>
      <w:r>
        <w:rPr>
          <w:sz w:val="21"/>
          <w:szCs w:val="21"/>
        </w:rPr>
        <w:t xml:space="preserve">und verbotene Praktiken (Art. 5), insbesondere Emotionserkennung, aktiv ausschließen.</w:t>
      </w:r>
    </w:p>
    <w:p>
      <w:pPr>
        <w:pStyle w:val="ListParagraph"/>
        <w:numPr>
          <w:ilvl w:val="0"/>
          <w:numId w:val="3"/>
        </w:numPr>
        <w:spacing w:after="90" w:line="272"/>
      </w:pPr>
      <w:r>
        <w:rPr>
          <w:b/>
          <w:bCs/>
          <w:sz w:val="21"/>
          <w:szCs w:val="21"/>
        </w:rPr>
        <w:t xml:space="preserve">Pflichtdokumentation führen: </w:t>
      </w:r>
      <w:r>
        <w:rPr>
          <w:sz w:val="21"/>
          <w:szCs w:val="21"/>
        </w:rPr>
        <w:t xml:space="preserve">Verzeichnis von Verarbeitungstätigkeiten, Betroffeneninformation, AVV bei externen Diensten, DSFA bei hohem Risiko.</w:t>
      </w:r>
    </w:p>
    <w:p>
      <w:pPr>
        <w:pStyle w:val="ListParagraph"/>
        <w:numPr>
          <w:ilvl w:val="0"/>
          <w:numId w:val="3"/>
        </w:numPr>
        <w:spacing w:after="90" w:line="272"/>
      </w:pPr>
      <w:r>
        <w:rPr>
          <w:b/>
          <w:bCs/>
          <w:sz w:val="21"/>
          <w:szCs w:val="21"/>
        </w:rPr>
        <w:t xml:space="preserve">Rechtsentwicklung beobachten: </w:t>
      </w:r>
      <w:r>
        <w:rPr>
          <w:sz w:val="21"/>
          <w:szCs w:val="21"/>
        </w:rPr>
        <w:t xml:space="preserve">DPF-Status, Digital-Omnibus-Fristen und aufsichtsrechtliche Hinweise (LfDI BW) regelmäßig prüfen.</w:t>
      </w:r>
    </w:p>
    <w:p>
      <w:pPr>
        <w:pStyle w:val="Heading1"/>
        <w:spacing w:after="120" w:before="300"/>
      </w:pPr>
      <w:r>
        <w:rPr>
          <w:b/>
          <w:bCs/>
          <w:color w:val="1F3864"/>
          <w:sz w:val="27"/>
          <w:szCs w:val="27"/>
        </w:rPr>
        <w:t xml:space="preserve">8. Quellen und Rechtsstand</w:t>
      </w:r>
    </w:p>
    <w:p>
      <w:pPr>
        <w:spacing w:after="80" w:line="276"/>
      </w:pPr>
      <w:r>
        <w:rPr>
          <w:b/>
          <w:bCs/>
          <w:sz w:val="21"/>
          <w:szCs w:val="21"/>
        </w:rPr>
        <w:t xml:space="preserve">Rechtsgrundlagen: </w:t>
      </w:r>
      <w:r>
        <w:rPr>
          <w:sz w:val="21"/>
          <w:szCs w:val="21"/>
        </w:rPr>
        <w:t xml:space="preserve">Verordnung (EU) 2024/1689 (KI-VO), insb. Art. 3, 4, 5, 6, 50, 26/27, Anhang III; DSGVO, insb. Art. 5, 6, 9, 13, 28, 30, 32, 35, 44 ff.; LDSG BW; §§ 1, 115b SchG BW.</w:t>
      </w:r>
    </w:p>
    <w:p>
      <w:pPr>
        <w:spacing w:after="80" w:line="276"/>
      </w:pPr>
      <w:r>
        <w:rPr>
          <w:b/>
          <w:bCs/>
          <w:sz w:val="21"/>
          <w:szCs w:val="21"/>
        </w:rPr>
        <w:t xml:space="preserve">Aufsicht/Behörden: </w:t>
      </w:r>
      <w:r>
        <w:rPr>
          <w:sz w:val="21"/>
          <w:szCs w:val="21"/>
        </w:rPr>
        <w:t xml:space="preserve">LfDI Baden-Württemberg, Diskussionspapier „Rechtsgrundlagen im Datenschutz beim Einsatz von KI", Version 2.0 (2024).</w:t>
      </w:r>
    </w:p>
    <w:p>
      <w:pPr>
        <w:spacing w:after="80" w:line="276"/>
      </w:pPr>
      <w:r>
        <w:rPr>
          <w:b/>
          <w:bCs/>
          <w:sz w:val="21"/>
          <w:szCs w:val="21"/>
        </w:rPr>
        <w:t xml:space="preserve">Rechtsprechung: </w:t>
      </w:r>
      <w:r>
        <w:rPr>
          <w:sz w:val="21"/>
          <w:szCs w:val="21"/>
        </w:rPr>
        <w:t xml:space="preserve">EuGH, Urteil vom 4.9.2025, C-413/23 P (EDSB/SRB, relativer Personenbezug); EuG/EuGH zum DPF (Latombe, T-553/23, C-703/25 P); US Supreme Court, Trump v. Slaughter (29.6.2026).</w:t>
      </w:r>
    </w:p>
    <w:p>
      <w:pPr>
        <w:spacing w:after="80" w:line="276"/>
      </w:pPr>
      <w:r>
        <w:rPr>
          <w:b/>
          <w:bCs/>
          <w:sz w:val="21"/>
          <w:szCs w:val="21"/>
        </w:rPr>
        <w:t xml:space="preserve">Forschung: </w:t>
      </w:r>
      <w:r>
        <w:rPr>
          <w:sz w:val="21"/>
          <w:szCs w:val="21"/>
        </w:rPr>
        <w:t xml:space="preserve">Staab, Vero, Balunović, Vechev, „Beyond Memorization: Violating Privacy via Inference with Large Language Models", ETH Zürich, ICLR 2024.</w:t>
      </w:r>
    </w:p>
    <w:p>
      <w:pPr>
        <w:spacing w:after="120" w:line="276"/>
      </w:pPr>
      <w:r>
        <w:rPr>
          <w:b/>
          <w:bCs/>
          <w:sz w:val="21"/>
          <w:szCs w:val="21"/>
        </w:rPr>
        <w:t xml:space="preserve">Anbieterangaben: </w:t>
      </w:r>
      <w:r>
        <w:rPr>
          <w:sz w:val="21"/>
          <w:szCs w:val="21"/>
        </w:rPr>
        <w:t xml:space="preserve">fobizz/101skills GmbH (Datenschutzhinweise); FWU, AIS.chat (Datenschutzerklärung, Stand 12.5.2026); DeepInfra Inc.; Anhörung Anton Carniaux vor dem französischen Senat (10.6.2025).</w:t>
      </w:r>
    </w:p>
    <w:p>
      <w:pPr>
        <w:pBdr>
          <w:bottom w:val="single" w:color="BFBFBF" w:sz="6" w:space="1"/>
        </w:pBdr>
        <w:spacing w:after="60"/>
      </w:pPr>
    </w:p>
    <w:p>
      <w:pPr>
        <w:spacing w:before="60"/>
      </w:pPr>
      <w:r>
        <w:rPr>
          <w:i/>
          <w:iCs/>
          <w:color w:val="595959"/>
          <w:sz w:val="17"/>
          <w:szCs w:val="17"/>
        </w:rPr>
        <w:t xml:space="preserve">Hinweis: Dieses Positionspapier dient der fachlichen Orientierung in Lehrkräftefortbildungen und ist keine Rechtsberatung. Die dargestellte Rechtslage ist in Teilen in Bewegung (u. a. Data Privacy Framework, Digital Omnibus). Für verbindliche Formulierungen und schulspezifische Verarbeitungen empfiehlt sich die Abstimmung mit der/dem behördlichen Datenschutzbeauftragten. Rechtsstand: 15. Juli 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color w:val="595959"/>
        <w:sz w:val="16"/>
        <w:szCs w:val="16"/>
      </w:rPr>
      <w:t xml:space="preserve">Positionspapier · KI datenschutzkonform in der Schule · LFB KI BW    |    Seite </w:t>
    </w:r>
    <w:r>
      <w:rPr>
        <w:color w:val="595959"/>
        <w:sz w:val="16"/>
        <w:szCs w:val="16"/>
      </w:rPr>
      <w:fldChar w:fldCharType="begin"/>
      <w:instrText xml:space="preserve">PAGE</w:instrText>
      <w:fldChar w:fldCharType="separate"/>
      <w:fldChar w:fldCharType="end"/>
    </w:r>
    <w:r>
      <w:rPr>
        <w:color w:val="595959"/>
        <w:sz w:val="16"/>
        <w:szCs w:val="16"/>
      </w:rPr>
      <w:t xml:space="preserve"> von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bullet"/>
      <w:lvlText w:val="•"/>
      <w:lvlJc w:val="start"/>
      <w:pPr>
        <w:ind w:left="460" w:hanging="260"/>
      </w:pPr>
    </w:lvl>
    <w:lvl w:ilvl="1" w15:tentative="1">
      <w:start w:val="1"/>
      <w:numFmt w:val="bullet"/>
      <w:lvlText w:val="–"/>
      <w:lvlJc w:val="star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7"/>
      <w:szCs w:val="27"/>
    </w:rPr>
  </w:style>
  <w:style w:type="paragraph" w:styleId="Heading2">
    <w:name w:val="Heading 2"/>
    <w:basedOn w:val="Normal"/>
    <w:next w:val="Normal"/>
    <w:qFormat/>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Positionspapier: KI-Systeme datenschutzkonform in der Schule einsetzen</dc:title>
  <dc:creator>Landesfachteam KI Baden-Württemberg</dc:creator>
  <cp:lastModifiedBy>Un-named</cp:lastModifiedBy>
  <cp:revision>1</cp:revision>
  <dcterms:created xsi:type="dcterms:W3CDTF">2026-07-15T15:01:05.557Z</dcterms:created>
  <dcterms:modified xsi:type="dcterms:W3CDTF">2026-07-15T15:01:05.585Z</dcterms:modified>
</cp:coreProperties>
</file>

<file path=docProps/custom.xml><?xml version="1.0" encoding="utf-8"?>
<Properties xmlns="http://schemas.openxmlformats.org/officeDocument/2006/custom-properties" xmlns:vt="http://schemas.openxmlformats.org/officeDocument/2006/docPropsVTypes"/>
</file>