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56B3"/>
          <w:sz w:val="36"/>
          <w:szCs w:val="36"/>
        </w:rPr>
        <w:t xml:space="preserve">🪐 Unterrichtsentwurf</w:t>
      </w:r>
    </w:p>
    <w:p>
      <w:pPr>
        <w:spacing w:after="200"/>
      </w:pPr>
      <w:r>
        <w:rPr>
          <w:rFonts w:ascii="Arial" w:cs="Arial" w:eastAsia="Arial" w:hAnsi="Arial"/>
          <w:color w:val="555555"/>
          <w:sz w:val="24"/>
          <w:szCs w:val="24"/>
        </w:rPr>
        <w:t xml:space="preserve">Unbekannte Früchte auf Candorus — Clustering als naturwissenschaftliche Methode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bCs/>
                <w:sz w:val="20"/>
                <w:szCs w:val="20"/>
                <w:shd w:val="clear" w:fill="auto"/>
              </w:rPr>
              <w:t xml:space="preserve">Fach</w:t>
            </w:r>
          </w:p>
        </w:tc>
        <w:tc>
          <w:tcPr>
            <w:tcW w:type="dxa" w:w="7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NwT (Naturwissenschaft und Technik)</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bCs/>
                <w:sz w:val="20"/>
                <w:szCs w:val="20"/>
                <w:shd w:val="clear" w:fill="auto"/>
              </w:rPr>
              <w:t xml:space="preserve">Klassenstufe</w:t>
            </w:r>
          </w:p>
        </w:tc>
        <w:tc>
          <w:tcPr>
            <w:tcW w:type="dxa" w:w="7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8 (adaptierbar 7–9)</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bCs/>
                <w:sz w:val="20"/>
                <w:szCs w:val="20"/>
                <w:shd w:val="clear" w:fill="auto"/>
              </w:rPr>
              <w:t xml:space="preserve">Zeitrahmen</w:t>
            </w:r>
          </w:p>
        </w:tc>
        <w:tc>
          <w:tcPr>
            <w:tcW w:type="dxa" w:w="7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Doppelstunde (90 Minuten)</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bCs/>
                <w:sz w:val="20"/>
                <w:szCs w:val="20"/>
                <w:shd w:val="clear" w:fill="auto"/>
              </w:rPr>
              <w:t xml:space="preserve">KI-Domäne</w:t>
            </w:r>
          </w:p>
        </w:tc>
        <w:tc>
          <w:tcPr>
            <w:tcW w:type="dxa" w:w="7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E — Erkunden &amp; Verstehen</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bCs/>
                <w:sz w:val="20"/>
                <w:szCs w:val="20"/>
                <w:shd w:val="clear" w:fill="auto"/>
              </w:rPr>
              <w:t xml:space="preserve">Bildungsplan BW</w:t>
            </w:r>
          </w:p>
        </w:tc>
        <w:tc>
          <w:tcPr>
            <w:tcW w:type="dxa" w:w="7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NwT Kl. 8, Prozesskomp. Erkenntnisgewinnung: Daten systematisch erheben, darstellen und auswerten, um Muster zu erkennen. Inhaltlich: Modellierung &amp; Systeme.</w:t>
            </w:r>
          </w:p>
        </w:tc>
      </w:tr>
    </w:tbl>
    <w:p>
      <w:pPr>
        <w:spacing w:after="12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E0E0E0" w:sz="1"/>
              <w:left w:val="single" w:color="0056B3" w:sz="12"/>
              <w:bottom w:val="single" w:color="E0E0E0" w:sz="1"/>
              <w:right w:val="single" w:color="E0E0E0" w:sz="1"/>
            </w:tcBorders>
            <w:shd w:fill="F0F7FF" w:val="clear"/>
            <w:tcMar>
              <w:top w:type="dxa" w:w="100"/>
              <w:left w:type="dxa" w:w="200"/>
              <w:bottom w:type="dxa" w:w="100"/>
              <w:right w:type="dxa" w:w="200"/>
            </w:tcMar>
          </w:tcPr>
          <w:p>
            <w:pPr>
              <w:spacing w:after="60"/>
            </w:pPr>
            <w:r>
              <w:rPr>
                <w:rFonts w:ascii="Arial" w:cs="Arial" w:eastAsia="Arial" w:hAnsi="Arial"/>
                <w:b/>
                <w:bCs/>
                <w:color w:val="0056B3"/>
                <w:sz w:val="20"/>
                <w:szCs w:val="20"/>
              </w:rPr>
              <w:t xml:space="preserve">Fachfrage</w:t>
            </w:r>
          </w:p>
          <w:p>
            <w:pPr>
              <w:spacing w:after="0"/>
            </w:pPr>
            <w:r>
              <w:rPr>
                <w:rFonts w:ascii="Arial" w:cs="Arial" w:eastAsia="Arial" w:hAnsi="Arial"/>
                <w:sz w:val="20"/>
                <w:szCs w:val="20"/>
              </w:rPr>
              <w:t xml:space="preserve">Wie gehen Naturwissenschaftler:innen vor, wenn sie völlig unbekannte Objekte allein anhand von Messdaten in sinnvolle Gruppen einteilen müssen — und welche Entscheidungen lassen sich dabei nicht an ein Verfahren delegieren?</w:t>
            </w:r>
          </w:p>
        </w:tc>
      </w:tr>
    </w:tbl>
    <w:p>
      <w:pPr>
        <w:pStyle w:val="Heading1"/>
        <w:spacing w:after="120" w:before="280"/>
      </w:pPr>
      <w:r>
        <w:rPr>
          <w:rFonts w:ascii="Arial" w:cs="Arial" w:eastAsia="Arial" w:hAnsi="Arial"/>
        </w:rPr>
        <w:t xml:space="preserve">Lernziele</w:t>
      </w:r>
    </w:p>
    <w:p>
      <w:pPr>
        <w:spacing w:after="120"/>
      </w:pPr>
      <w:r>
        <w:rPr>
          <w:rFonts w:ascii="Arial" w:cs="Arial" w:eastAsia="Arial" w:hAnsi="Arial"/>
          <w:i/>
          <w:iCs/>
          <w:sz w:val="20"/>
          <w:szCs w:val="20"/>
        </w:rPr>
        <w:t xml:space="preserve">Die Schülerinnen und Schüler …</w:t>
      </w:r>
    </w:p>
    <w:p>
      <w:pPr>
        <w:pStyle w:val="ListParagraph"/>
        <w:numPr>
          <w:ilvl w:val="0"/>
          <w:numId w:val="2"/>
        </w:numPr>
        <w:spacing w:after="60"/>
      </w:pPr>
      <w:r>
        <w:rPr>
          <w:rFonts w:ascii="Arial" w:cs="Arial" w:eastAsia="Arial" w:hAnsi="Arial"/>
          <w:sz w:val="20"/>
          <w:szCs w:val="20"/>
        </w:rPr>
        <w:t xml:space="preserve">erfassen Messdaten systematisch und stellen diese in einem Streudiagramm dar.</w:t>
      </w:r>
    </w:p>
    <w:p>
      <w:pPr>
        <w:pStyle w:val="ListParagraph"/>
        <w:numPr>
          <w:ilvl w:val="0"/>
          <w:numId w:val="2"/>
        </w:numPr>
        <w:spacing w:after="60"/>
      </w:pPr>
      <w:r>
        <w:rPr>
          <w:rFonts w:ascii="Arial" w:cs="Arial" w:eastAsia="Arial" w:hAnsi="Arial"/>
          <w:sz w:val="20"/>
          <w:szCs w:val="20"/>
        </w:rPr>
        <w:t xml:space="preserve">begründen ihre eigene Gruppierungsentscheidung anhand selbst formulierter Kriterien.</w:t>
      </w:r>
    </w:p>
    <w:p>
      <w:pPr>
        <w:pStyle w:val="ListParagraph"/>
        <w:numPr>
          <w:ilvl w:val="0"/>
          <w:numId w:val="2"/>
        </w:numPr>
        <w:spacing w:after="60"/>
      </w:pPr>
      <w:r>
        <w:rPr>
          <w:rFonts w:ascii="Arial" w:cs="Arial" w:eastAsia="Arial" w:hAnsi="Arial"/>
          <w:sz w:val="20"/>
          <w:szCs w:val="20"/>
        </w:rPr>
        <w:t xml:space="preserve">vergleichen ihre händische Gruppierung mit dem Ergebnis des Clustering-Algorithmus und benennen Übereinstimmungen und Abweichungen.</w:t>
      </w:r>
    </w:p>
    <w:p>
      <w:pPr>
        <w:pStyle w:val="ListParagraph"/>
        <w:numPr>
          <w:ilvl w:val="0"/>
          <w:numId w:val="2"/>
        </w:numPr>
        <w:spacing w:after="60"/>
      </w:pPr>
      <w:r>
        <w:rPr>
          <w:rFonts w:ascii="Arial" w:cs="Arial" w:eastAsia="Arial" w:hAnsi="Arial"/>
          <w:sz w:val="20"/>
          <w:szCs w:val="20"/>
        </w:rPr>
        <w:t xml:space="preserve">erklären, welche Entscheidungen der Algorithmus trifft und welche er nicht treffen kann.</w:t>
      </w:r>
    </w:p>
    <w:p>
      <w:pPr>
        <w:pStyle w:val="ListParagraph"/>
        <w:numPr>
          <w:ilvl w:val="0"/>
          <w:numId w:val="2"/>
        </w:numPr>
        <w:spacing w:after="60"/>
      </w:pPr>
      <w:r>
        <w:rPr>
          <w:rFonts w:ascii="Arial" w:cs="Arial" w:eastAsia="Arial" w:hAnsi="Arial"/>
          <w:sz w:val="20"/>
          <w:szCs w:val="20"/>
        </w:rPr>
        <w:t xml:space="preserve">beurteilen im Transfer, welche Konsequenzen entstehen, wenn solche Verfahren auf Menschen angewendet werden.</w:t>
      </w:r>
    </w:p>
    <w:p>
      <w:pPr>
        <w:pStyle w:val="Heading1"/>
        <w:spacing w:after="120" w:before="280"/>
      </w:pPr>
      <w:r>
        <w:rPr>
          <w:rFonts w:ascii="Arial" w:cs="Arial" w:eastAsia="Arial" w:hAnsi="Arial"/>
        </w:rPr>
        <w:t xml:space="preserve">Stundenverlauf</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5900"/>
        <w:gridCol w:w="1500"/>
      </w:tblGrid>
      <w:tr>
        <w:tc>
          <w:tcPr>
            <w:tcW w:type="dxa" w:w="1100"/>
            <w:tcBorders>
              <w:top w:val="single" w:color="BBBBBB" w:sz="1"/>
              <w:left w:val="single" w:color="BBBBBB" w:sz="1"/>
              <w:bottom w:val="single" w:color="BBBBBB" w:sz="1"/>
              <w:right w:val="single" w:color="BBBBBB" w:sz="1"/>
            </w:tcBorders>
            <w:shd w:fill="0056B3"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Zeit</w:t>
            </w:r>
          </w:p>
        </w:tc>
        <w:tc>
          <w:tcPr>
            <w:tcW w:type="dxa" w:w="1700"/>
            <w:tcBorders>
              <w:top w:val="single" w:color="BBBBBB" w:sz="1"/>
              <w:left w:val="single" w:color="BBBBBB" w:sz="1"/>
              <w:bottom w:val="single" w:color="BBBBBB" w:sz="1"/>
              <w:right w:val="single" w:color="BBBBBB" w:sz="1"/>
            </w:tcBorders>
            <w:shd w:fill="0056B3"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5900"/>
            <w:tcBorders>
              <w:top w:val="single" w:color="BBBBBB" w:sz="1"/>
              <w:left w:val="single" w:color="BBBBBB" w:sz="1"/>
              <w:bottom w:val="single" w:color="BBBBBB" w:sz="1"/>
              <w:right w:val="single" w:color="BBBBBB" w:sz="1"/>
            </w:tcBorders>
            <w:shd w:fill="0056B3"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Beschreibung / SuS-Aktivität</w:t>
            </w:r>
          </w:p>
        </w:tc>
        <w:tc>
          <w:tcPr>
            <w:tcW w:type="dxa" w:w="1500"/>
            <w:tcBorders>
              <w:top w:val="single" w:color="BBBBBB" w:sz="1"/>
              <w:left w:val="single" w:color="BBBBBB" w:sz="1"/>
              <w:bottom w:val="single" w:color="BBBBBB" w:sz="1"/>
              <w:right w:val="single" w:color="BBBBBB" w:sz="1"/>
            </w:tcBorders>
            <w:shd w:fill="0056B3"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Sozialform</w:t>
            </w:r>
          </w:p>
        </w:tc>
      </w:tr>
      <w:tr>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sz w:val="20"/>
                <w:szCs w:val="20"/>
                <w:shd w:val="clear" w:fill="auto"/>
              </w:rPr>
              <w:t xml:space="preserve">10′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bCs/>
                <w:sz w:val="20"/>
                <w:szCs w:val="20"/>
              </w:rPr>
              <w:t xml:space="preserve">Einstieg</w:t>
            </w:r>
          </w:p>
        </w:tc>
        <w:tc>
          <w:tcPr>
            <w:tcW w:type="dxa" w:w="5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L projiziert die App, erzählt das Candorus-Szenario. Leitfrage an der Tafel: „Wie schaffen wir Ordnung in etwas völlig Unbekanntem?“ SuS sammeln erste Ideen mündlich. Der Cluster-Button wird bewusst noch nicht gezeigt.</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sz w:val="20"/>
                <w:szCs w:val="20"/>
                <w:shd w:val="clear" w:fill="auto"/>
              </w:rPr>
              <w:t xml:space="preserve">Plenum</w:t>
            </w:r>
          </w:p>
        </w:tc>
      </w:tr>
      <w:tr>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sz w:val="20"/>
                <w:szCs w:val="20"/>
                <w:shd w:val="clear" w:fill="auto"/>
              </w:rPr>
              <w:t xml:space="preserve">25′</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bCs/>
                <w:sz w:val="20"/>
                <w:szCs w:val="20"/>
              </w:rPr>
              <w:t xml:space="preserve">Exploration</w:t>
            </w:r>
          </w:p>
        </w:tc>
        <w:tc>
          <w:tcPr>
            <w:tcW w:type="dxa" w:w="5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Teil A (10′): Gruppen sammeln ≥20 Datenpunkte in der App und tragen sie in ein vorgedrucktes Koordinatensystem ein. — Teil B (15′): Gruppen zeichnen mit Farbstiften Grenzen um erkannte Gruppen, benennen sie und notieren ihre Gruppierungsregel: „Wir haben … Gruppen gebildet, weil …“</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sz w:val="20"/>
                <w:szCs w:val="20"/>
                <w:shd w:val="clear" w:fill="auto"/>
              </w:rPr>
              <w:t xml:space="preserve">GA (3–4er)</w:t>
            </w:r>
          </w:p>
        </w:tc>
      </w:tr>
      <w:tr>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sz w:val="20"/>
                <w:szCs w:val="20"/>
                <w:shd w:val="clear" w:fill="auto"/>
              </w:rPr>
              <w:t xml:space="preserve">15′</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bCs/>
                <w:sz w:val="20"/>
                <w:szCs w:val="20"/>
              </w:rPr>
              <w:t xml:space="preserve">Algorithmus</w:t>
            </w:r>
          </w:p>
        </w:tc>
        <w:tc>
          <w:tcPr>
            <w:tcW w:type="dxa" w:w="5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SuS drücken den Cluster-Button, benennen die Cluster in der App. Dann füllen sie das Vergleichsraster „Mensch vs. Algorithmus“ aus (Anzahl Gruppen, Kriterien, Herkunft der Namen, Grenzen des Verfahrens). Blitzrunde: 2 Gruppen präsentieren ihren interessantesten Unterschied.</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sz w:val="20"/>
                <w:szCs w:val="20"/>
                <w:shd w:val="clear" w:fill="auto"/>
              </w:rPr>
              <w:t xml:space="preserve">GA → Plenum</w:t>
            </w:r>
          </w:p>
        </w:tc>
      </w:tr>
      <w:tr>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sz w:val="20"/>
                <w:szCs w:val="20"/>
                <w:shd w:val="clear" w:fill="auto"/>
              </w:rPr>
              <w:t xml:space="preserve">15′</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bCs/>
                <w:sz w:val="20"/>
                <w:szCs w:val="20"/>
              </w:rPr>
              <w:t xml:space="preserve">Reflexion</w:t>
            </w:r>
          </w:p>
        </w:tc>
        <w:tc>
          <w:tcPr>
            <w:tcW w:type="dxa" w:w="5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Drei Kernfragen im UG: (1) Weiß der Algorithmus, was eine „Giftfrucht“ ist? (2) Was wäre bei nur 5 Datenpunkten anders? (3) Transferimpuls: Was ändert sich, wenn der Algorithmus Menschen statt Früchte gruppiert? — L hält Ergebnisse an der Tafel fest. Hinweis: Hier wird 3 als einfachster sinnvoller Fall verwendet; in der Realität muss die Anzahl der Gruppen bewusst gewählt werden.</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sz w:val="20"/>
                <w:szCs w:val="20"/>
                <w:shd w:val="clear" w:fill="auto"/>
              </w:rPr>
              <w:t xml:space="preserve">Plenum</w:t>
            </w:r>
          </w:p>
        </w:tc>
      </w:tr>
      <w:tr>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sz w:val="20"/>
                <w:szCs w:val="20"/>
                <w:shd w:val="clear" w:fill="auto"/>
              </w:rPr>
              <w:t xml:space="preserve">10′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bCs/>
                <w:sz w:val="20"/>
                <w:szCs w:val="20"/>
              </w:rPr>
              <w:t xml:space="preserve">Sicherung</w:t>
            </w:r>
          </w:p>
        </w:tc>
        <w:tc>
          <w:tcPr>
            <w:tcW w:type="dxa" w:w="5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Dreisatz-Karte (EA): Je ein Satz zu (a) was ich über datenbasiertes Gruppieren gelernt habe, (b) was der Algorithmus kann, (c) was er nicht kann. Zwei Karten werden vorgelesen.</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sz w:val="20"/>
                <w:szCs w:val="20"/>
                <w:shd w:val="clear" w:fill="auto"/>
              </w:rPr>
              <w:t xml:space="preserve">EA → Plenum</w:t>
            </w:r>
          </w:p>
        </w:tc>
      </w:tr>
      <w:tr>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sz w:val="20"/>
                <w:szCs w:val="20"/>
                <w:shd w:val="clear" w:fill="auto"/>
              </w:rPr>
              <w:t xml:space="preserve">15′</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bCs/>
                <w:sz w:val="20"/>
                <w:szCs w:val="20"/>
              </w:rPr>
              <w:t xml:space="preserve">Puffer</w:t>
            </w:r>
          </w:p>
        </w:tc>
        <w:tc>
          <w:tcPr>
            <w:tcW w:type="dxa" w:w="5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Gruppen experimentieren: Was passiert beim Löschen von Datenpunkten? Verschiebt sich die Gruppierung? Vertiefendes Spielen mit dem Algorithmus (optional).</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sz w:val="20"/>
                <w:szCs w:val="20"/>
                <w:shd w:val="clear" w:fill="auto"/>
              </w:rPr>
              <w:t xml:space="preserve">GA</w:t>
            </w:r>
          </w:p>
        </w:tc>
      </w:tr>
    </w:tbl>
    <w:p>
      <w:pPr>
        <w:pStyle w:val="Heading1"/>
        <w:spacing w:after="120" w:before="280"/>
      </w:pPr>
      <w:r>
        <w:rPr>
          <w:rFonts w:ascii="Arial" w:cs="Arial" w:eastAsia="Arial" w:hAnsi="Arial"/>
        </w:rPr>
        <w:t xml:space="preserve">Material &amp; Voraussetzungen</w:t>
      </w:r>
    </w:p>
    <w:p>
      <w:pPr>
        <w:pStyle w:val="ListParagraph"/>
        <w:numPr>
          <w:ilvl w:val="0"/>
          <w:numId w:val="3"/>
        </w:numPr>
        <w:spacing w:after="60"/>
      </w:pPr>
      <w:r>
        <w:rPr>
          <w:rFonts w:ascii="Arial" w:cs="Arial" w:eastAsia="Arial" w:hAnsi="Arial"/>
          <w:sz w:val="20"/>
          <w:szCs w:val="20"/>
        </w:rPr>
        <w:t xml:space="preserve">1 Rechner pro Gruppe (Browser, lokale HTML-Datei oder Internetzugang)</w:t>
      </w:r>
    </w:p>
    <w:p>
      <w:pPr>
        <w:pStyle w:val="ListParagraph"/>
        <w:numPr>
          <w:ilvl w:val="0"/>
          <w:numId w:val="3"/>
        </w:numPr>
        <w:spacing w:after="60"/>
      </w:pPr>
      <w:r>
        <w:rPr>
          <w:rFonts w:ascii="Arial" w:cs="Arial" w:eastAsia="Arial" w:hAnsi="Arial"/>
          <w:sz w:val="20"/>
          <w:szCs w:val="20"/>
        </w:rPr>
        <w:t xml:space="preserve">AB 1: Leeres Koordinatensystem (Zucker 0–100 % / Gift 0–100 mg), vorgedruckt</w:t>
      </w:r>
    </w:p>
    <w:p>
      <w:pPr>
        <w:pStyle w:val="ListParagraph"/>
        <w:numPr>
          <w:ilvl w:val="0"/>
          <w:numId w:val="3"/>
        </w:numPr>
        <w:spacing w:after="60"/>
      </w:pPr>
      <w:r>
        <w:rPr>
          <w:rFonts w:ascii="Arial" w:cs="Arial" w:eastAsia="Arial" w:hAnsi="Arial"/>
          <w:sz w:val="20"/>
          <w:szCs w:val="20"/>
        </w:rPr>
        <w:t xml:space="preserve">AB 2: Vergleichsraster „Mensch vs. Algorithmus“ (5 Zeilen, 2 Spalten)</w:t>
      </w:r>
    </w:p>
    <w:p>
      <w:pPr>
        <w:pStyle w:val="ListParagraph"/>
        <w:numPr>
          <w:ilvl w:val="0"/>
          <w:numId w:val="3"/>
        </w:numPr>
        <w:spacing w:after="60"/>
      </w:pPr>
      <w:r>
        <w:rPr>
          <w:rFonts w:ascii="Arial" w:cs="Arial" w:eastAsia="Arial" w:hAnsi="Arial"/>
          <w:sz w:val="20"/>
          <w:szCs w:val="20"/>
        </w:rPr>
        <w:t xml:space="preserve">Farbstifte (mind. 3 Farben/Gruppe), Karteikarten, Beamer</w:t>
      </w:r>
    </w:p>
    <w:p>
      <w:pPr>
        <w:pStyle w:val="ListParagraph"/>
        <w:numPr>
          <w:ilvl w:val="0"/>
          <w:numId w:val="3"/>
        </w:numPr>
        <w:spacing w:after="60"/>
      </w:pPr>
      <w:r>
        <w:rPr>
          <w:rFonts w:ascii="Arial" w:cs="Arial" w:eastAsia="Arial" w:hAnsi="Arial"/>
          <w:sz w:val="20"/>
          <w:szCs w:val="20"/>
        </w:rPr>
        <w:t xml:space="preserve">Vorwissen: Koordinatensystem bekannt; kein KI-Vorwissen nötig</w:t>
      </w:r>
    </w:p>
    <w:p>
      <w:pPr>
        <w:pStyle w:val="Heading1"/>
        <w:spacing w:after="120" w:before="280"/>
      </w:pPr>
      <w:r>
        <w:rPr>
          <w:rFonts w:ascii="Arial" w:cs="Arial" w:eastAsia="Arial" w:hAnsi="Arial"/>
        </w:rPr>
        <w:t xml:space="preserve">Didaktischer Kommentar</w:t>
      </w:r>
    </w:p>
    <w:p>
      <w:pPr>
        <w:spacing w:after="120"/>
      </w:pPr>
      <w:r>
        <w:rPr>
          <w:rFonts w:ascii="Arial" w:cs="Arial" w:eastAsia="Arial" w:hAnsi="Arial"/>
          <w:b/>
          <w:bCs/>
          <w:sz w:val="20"/>
          <w:szCs w:val="20"/>
        </w:rPr>
        <w:t xml:space="preserve">Zum Verhältnis Clustering / naturwiss. Klassifikation: </w:t>
      </w:r>
      <w:r>
        <w:rPr>
          <w:rFonts w:ascii="Arial" w:cs="Arial" w:eastAsia="Arial" w:hAnsi="Arial"/>
          <w:sz w:val="20"/>
          <w:szCs w:val="20"/>
        </w:rPr>
        <w:t xml:space="preserve">Die Analogie ist tragfähig — beide Verfahren ordnen Unbekanntes anhand messbarer Merkmale. Der wesentliche Unterschied (der Algorithmus kennt keine Bedeutung, nur Distanzen) wird in der Reflexionsphase explizit herausgearbeitet.</w:t>
      </w:r>
    </w:p>
    <w:p>
      <w:pPr>
        <w:spacing w:after="120"/>
      </w:pPr>
      <w:r>
        <w:rPr>
          <w:rFonts w:ascii="Arial" w:cs="Arial" w:eastAsia="Arial" w:hAnsi="Arial"/>
          <w:b/>
          <w:bCs/>
          <w:sz w:val="20"/>
          <w:szCs w:val="20"/>
        </w:rPr>
        <w:t xml:space="preserve">Zur festen Clusterzahl k=3: </w:t>
      </w:r>
      <w:r>
        <w:rPr>
          <w:rFonts w:ascii="Arial" w:cs="Arial" w:eastAsia="Arial" w:hAnsi="Arial"/>
          <w:sz w:val="20"/>
          <w:szCs w:val="20"/>
        </w:rPr>
        <w:t xml:space="preserve">Die App arbeitet mit drei Clustern als einfachstem nicht-trivialem Fall. In der Reflexionsphase wird darauf hingewiesen, dass die Anzahl der Gruppen in der Realität eine bewusste Entscheidung ist, die der Algorithmus nicht selbst trifft. Für diese Einführungsstunde ist die Vereinfachung didaktisch vertretbar.</w:t>
      </w:r>
    </w:p>
    <w:p>
      <w:pPr>
        <w:spacing w:after="200"/>
      </w:pPr>
    </w:p>
    <w:p>
      <w:pPr>
        <w:pStyle w:val="Heading2"/>
        <w:spacing w:after="120" w:before="280"/>
      </w:pPr>
      <w:r>
        <w:rPr>
          <w:rFonts w:ascii="Arial" w:cs="Arial" w:eastAsia="Arial" w:hAnsi="Arial"/>
        </w:rPr>
        <w:t xml:space="preserve">Qualitäts-Check (Kurzform)</w:t>
      </w:r>
    </w:p>
    <w:p>
      <w:pPr>
        <w:spacing w:after="120"/>
      </w:pPr>
      <w:r>
        <w:rPr>
          <w:rFonts w:ascii="Arial" w:cs="Arial" w:eastAsia="Arial" w:hAnsi="Arial"/>
          <w:i/>
          <w:iCs/>
          <w:sz w:val="18"/>
          <w:szCs w:val="18"/>
        </w:rPr>
        <w:t xml:space="preserve">Prüfung gegen die 10 Kernkriterien der Qualitätsrubrik: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100"/>
        <w:gridCol w:w="5100"/>
      </w:tblGrid>
      <w:tr>
        <w:tc>
          <w:tcPr>
            <w:tcW w:type="dxa" w:w="5100"/>
            <w:tcBorders>
              <w:top w:val="single" w:color="BBBBBB" w:sz="1"/>
              <w:left w:val="single" w:color="BBBBBB" w:sz="1"/>
              <w:bottom w:val="single" w:color="BBBBBB" w:sz="1"/>
              <w:right w:val="single" w:color="BBBBBB" w:sz="1"/>
            </w:tcBorders>
            <w:shd w:fill="0056B3"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Kriterium</w:t>
            </w:r>
          </w:p>
        </w:tc>
        <w:tc>
          <w:tcPr>
            <w:tcW w:type="dxa" w:w="5100"/>
            <w:tcBorders>
              <w:top w:val="single" w:color="BBBBBB" w:sz="1"/>
              <w:left w:val="single" w:color="BBBBBB" w:sz="1"/>
              <w:bottom w:val="single" w:color="BBBBBB" w:sz="1"/>
              <w:right w:val="single" w:color="BBBBBB" w:sz="1"/>
            </w:tcBorders>
            <w:shd w:fill="0056B3"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5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bCs/>
                <w:sz w:val="20"/>
                <w:szCs w:val="20"/>
              </w:rPr>
              <w:t xml:space="preserve">A1  Echte Fachfrage</w:t>
            </w:r>
          </w:p>
        </w:tc>
        <w:tc>
          <w:tcPr>
            <w:tcW w:type="dxa" w:w="5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 Leitfrage funktioniert ohne das Wort KI</w:t>
            </w:r>
          </w:p>
        </w:tc>
      </w:tr>
      <w:tr>
        <w:tc>
          <w:tcPr>
            <w:tcW w:type="dxa" w:w="5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bCs/>
                <w:sz w:val="20"/>
                <w:szCs w:val="20"/>
              </w:rPr>
              <w:t xml:space="preserve">A2  Curriculare Verankerung</w:t>
            </w:r>
          </w:p>
        </w:tc>
        <w:tc>
          <w:tcPr>
            <w:tcW w:type="dxa" w:w="5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 NwT Kl. 8, Erkenntnisgewinnung</w:t>
            </w:r>
          </w:p>
        </w:tc>
      </w:tr>
      <w:tr>
        <w:tc>
          <w:tcPr>
            <w:tcW w:type="dxa" w:w="5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bCs/>
                <w:sz w:val="20"/>
                <w:szCs w:val="20"/>
              </w:rPr>
              <w:t xml:space="preserve">A3  KI-Kompetenzdomäne</w:t>
            </w:r>
          </w:p>
        </w:tc>
        <w:tc>
          <w:tcPr>
            <w:tcW w:type="dxa" w:w="5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 E (Erkunden &amp; Verstehen)</w:t>
            </w:r>
          </w:p>
        </w:tc>
      </w:tr>
      <w:tr>
        <w:tc>
          <w:tcPr>
            <w:tcW w:type="dxa" w:w="5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bCs/>
                <w:sz w:val="20"/>
                <w:szCs w:val="20"/>
              </w:rPr>
              <w:t xml:space="preserve">A4  Ethik eingebaut</w:t>
            </w:r>
          </w:p>
        </w:tc>
        <w:tc>
          <w:tcPr>
            <w:tcW w:type="dxa" w:w="5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 Transferimpuls in Reflexionsphase</w:t>
            </w:r>
          </w:p>
        </w:tc>
      </w:tr>
      <w:tr>
        <w:tc>
          <w:tcPr>
            <w:tcW w:type="dxa" w:w="5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bCs/>
                <w:sz w:val="20"/>
                <w:szCs w:val="20"/>
              </w:rPr>
              <w:t xml:space="preserve">B1  Lernziele mit Operatoren</w:t>
            </w:r>
          </w:p>
        </w:tc>
        <w:tc>
          <w:tcPr>
            <w:tcW w:type="dxa" w:w="5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 5 Ziele mit Operatoren</w:t>
            </w:r>
          </w:p>
        </w:tc>
      </w:tr>
      <w:tr>
        <w:tc>
          <w:tcPr>
            <w:tcW w:type="dxa" w:w="5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bCs/>
                <w:sz w:val="20"/>
                <w:szCs w:val="20"/>
              </w:rPr>
              <w:t xml:space="preserve">B2  Konkrete SuS-Aktivität</w:t>
            </w:r>
          </w:p>
        </w:tc>
        <w:tc>
          <w:tcPr>
            <w:tcW w:type="dxa" w:w="5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 Jede Phase beschreibt SuS-Handlung</w:t>
            </w:r>
          </w:p>
        </w:tc>
      </w:tr>
      <w:tr>
        <w:tc>
          <w:tcPr>
            <w:tcW w:type="dxa" w:w="5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bCs/>
                <w:sz w:val="20"/>
                <w:szCs w:val="20"/>
              </w:rPr>
              <w:t xml:space="preserve">B3  Kognitive Aktivierung</w:t>
            </w:r>
          </w:p>
        </w:tc>
        <w:tc>
          <w:tcPr>
            <w:tcW w:type="dxa" w:w="5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 Begründen, Vergleichen, Transfer</w:t>
            </w:r>
          </w:p>
        </w:tc>
      </w:tr>
      <w:tr>
        <w:tc>
          <w:tcPr>
            <w:tcW w:type="dxa" w:w="5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bCs/>
                <w:sz w:val="20"/>
                <w:szCs w:val="20"/>
              </w:rPr>
              <w:t xml:space="preserve">B4  SuS-Produkt</w:t>
            </w:r>
          </w:p>
        </w:tc>
        <w:tc>
          <w:tcPr>
            <w:tcW w:type="dxa" w:w="5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 Vergleichsraster + Dreisatz-Karte</w:t>
            </w:r>
          </w:p>
        </w:tc>
      </w:tr>
      <w:tr>
        <w:tc>
          <w:tcPr>
            <w:tcW w:type="dxa" w:w="5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bCs/>
                <w:sz w:val="20"/>
                <w:szCs w:val="20"/>
              </w:rPr>
              <w:t xml:space="preserve">C1  Fachdidaktische Prüffragen</w:t>
            </w:r>
          </w:p>
        </w:tc>
        <w:tc>
          <w:tcPr>
            <w:tcW w:type="dxa" w:w="5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 Beantwortet (s. didakt. Kommentar)</w:t>
            </w:r>
          </w:p>
        </w:tc>
      </w:tr>
      <w:tr>
        <w:tc>
          <w:tcPr>
            <w:tcW w:type="dxa" w:w="5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bCs/>
                <w:sz w:val="20"/>
                <w:szCs w:val="20"/>
              </w:rPr>
              <w:t xml:space="preserve">C2  Material &amp; Voraussetzungen</w:t>
            </w:r>
          </w:p>
        </w:tc>
        <w:tc>
          <w:tcPr>
            <w:tcW w:type="dxa" w:w="5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 Vollständig aufgelistet</w:t>
            </w:r>
          </w:p>
        </w:tc>
      </w:tr>
    </w:tbl>
    <w:sectPr>
      <w:headerReference w:type="default" r:id="rId7"/>
      <w:footerReference w:type="default" r:id="rId8"/>
      <w:pgSz w:w="11906" w:h="16838" w:orient="portrait"/>
      <w:pgMar w:top="90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Seite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LFB KI BW</w:t>
    </w:r>
    <w:r>
      <w:rPr>
        <w:rFonts w:ascii="Arial" w:cs="Arial" w:eastAsia="Arial" w:hAnsi="Arial"/>
        <w:color w:val="999999"/>
        <w:sz w:val="16"/>
        <w:szCs w:val="16"/>
      </w:rPr>
      <w:t xml:space="preserve">  •  Unterrichtsentwurf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56B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56B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2026-05-26T19:30:44.140Z</dcterms:created>
  <dcterms:modified xsi:type="dcterms:W3CDTF">2026-05-26T19:30:44.152Z</dcterms:modified>
</cp:coreProperties>
</file>

<file path=docProps/custom.xml><?xml version="1.0" encoding="utf-8"?>
<Properties xmlns="http://schemas.openxmlformats.org/officeDocument/2006/custom-properties" xmlns:vt="http://schemas.openxmlformats.org/officeDocument/2006/docPropsVTypes"/>
</file>