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20B8" w14:textId="245CA9D0" w:rsidR="00E950FB" w:rsidRDefault="00EB3CBD" w:rsidP="00EB3CBD">
      <w:pPr>
        <w:spacing w:after="200" w:line="312" w:lineRule="auto"/>
      </w:pPr>
      <w:r w:rsidRPr="00EB3CBD">
        <w:rPr>
          <w:sz w:val="20"/>
          <w:szCs w:val="20"/>
        </w:rPr>
        <w:br/>
      </w:r>
      <w:r w:rsidR="00F922EA">
        <w:rPr>
          <w:b/>
          <w:bCs/>
          <w:noProof/>
          <w:color w:val="1A5276"/>
          <w:sz w:val="30"/>
          <w:szCs w:val="30"/>
        </w:rPr>
        <w:drawing>
          <wp:inline distT="0" distB="0" distL="0" distR="0" wp14:anchorId="3764811C" wp14:editId="53477DE7">
            <wp:extent cx="6568093" cy="434566"/>
            <wp:effectExtent l="0" t="0" r="0" b="0"/>
            <wp:docPr id="299485586" name="Picture 1" descr="A blue and orang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5586" name="Picture 1" descr="A blue and orange machine&#10;&#10;AI-generated content may be incorrect."/>
                    <pic:cNvPicPr/>
                  </pic:nvPicPr>
                  <pic:blipFill rotWithShape="1">
                    <a:blip r:embed="rId7" cstate="print">
                      <a:extLst>
                        <a:ext uri="{28A0092B-C50C-407E-A947-70E740481C1C}">
                          <a14:useLocalDpi xmlns:a14="http://schemas.microsoft.com/office/drawing/2010/main" val="0"/>
                        </a:ext>
                      </a:extLst>
                    </a:blip>
                    <a:srcRect l="-3" t="49891" r="3" b="40181"/>
                    <a:stretch>
                      <a:fillRect/>
                    </a:stretch>
                  </pic:blipFill>
                  <pic:spPr bwMode="auto">
                    <a:xfrm>
                      <a:off x="0" y="0"/>
                      <a:ext cx="6623349" cy="438222"/>
                    </a:xfrm>
                    <a:prstGeom prst="rect">
                      <a:avLst/>
                    </a:prstGeom>
                    <a:ln>
                      <a:noFill/>
                    </a:ln>
                    <a:extLst>
                      <a:ext uri="{53640926-AAD7-44D8-BBD7-CCE9431645EC}">
                        <a14:shadowObscured xmlns:a14="http://schemas.microsoft.com/office/drawing/2010/main"/>
                      </a:ext>
                    </a:extLst>
                  </pic:spPr>
                </pic:pic>
              </a:graphicData>
            </a:graphic>
          </wp:inline>
        </w:drawing>
      </w:r>
      <w:r w:rsidR="00000000" w:rsidRPr="00EB3CBD">
        <w:rPr>
          <w:b/>
          <w:bCs/>
          <w:color w:val="1A5276"/>
          <w:sz w:val="36"/>
          <w:szCs w:val="36"/>
        </w:rPr>
        <w:t>Lernen ist Beziehung</w:t>
      </w:r>
      <w:r>
        <w:br/>
      </w:r>
      <w:r w:rsidR="00000000">
        <w:rPr>
          <w:color w:val="2980B9"/>
          <w:sz w:val="28"/>
          <w:szCs w:val="28"/>
        </w:rPr>
        <w:t>Der Wandel Lehrerrolle i</w:t>
      </w:r>
      <w:r w:rsidR="00F922EA">
        <w:rPr>
          <w:color w:val="2980B9"/>
          <w:sz w:val="28"/>
          <w:szCs w:val="28"/>
        </w:rPr>
        <w:t>m</w:t>
      </w:r>
      <w:r w:rsidR="00000000">
        <w:rPr>
          <w:color w:val="2980B9"/>
          <w:sz w:val="28"/>
          <w:szCs w:val="28"/>
        </w:rPr>
        <w:t xml:space="preserve"> KI</w:t>
      </w:r>
      <w:r w:rsidR="00F922EA">
        <w:rPr>
          <w:color w:val="2980B9"/>
          <w:sz w:val="28"/>
          <w:szCs w:val="28"/>
        </w:rPr>
        <w:t>-Zeitalter</w:t>
      </w:r>
      <w:r w:rsidR="00000000">
        <w:rPr>
          <w:color w:val="2980B9"/>
          <w:sz w:val="28"/>
          <w:szCs w:val="28"/>
        </w:rPr>
        <w:t>:</w:t>
      </w:r>
      <w:r w:rsidR="00F922EA">
        <w:t xml:space="preserve"> </w:t>
      </w:r>
      <w:r w:rsidR="00000000">
        <w:rPr>
          <w:color w:val="2980B9"/>
          <w:sz w:val="28"/>
          <w:szCs w:val="28"/>
        </w:rPr>
        <w:t>Vom Wissensvermittler zum Lernbegleiter</w:t>
      </w:r>
      <w:r>
        <w:br/>
      </w:r>
      <w:r w:rsidR="00000000">
        <w:rPr>
          <w:i/>
          <w:iCs/>
          <w:sz w:val="22"/>
          <w:szCs w:val="22"/>
        </w:rPr>
        <w:t>Eine Ausarbeitung für die Lehrerfortbildung</w:t>
      </w:r>
      <w:r w:rsidR="00F922EA">
        <w:t xml:space="preserve">, </w:t>
      </w:r>
      <w:r w:rsidR="00000000">
        <w:rPr>
          <w:sz w:val="22"/>
          <w:szCs w:val="22"/>
        </w:rPr>
        <w:t>Stand: März 2026</w:t>
      </w:r>
      <w:r w:rsidR="00F922EA">
        <w:rPr>
          <w:sz w:val="22"/>
          <w:szCs w:val="22"/>
        </w:rPr>
        <w:t>. Autor Thomas Jörg</w:t>
      </w:r>
    </w:p>
    <w:p w14:paraId="7C0B1B97" w14:textId="2E2476B2" w:rsidR="00E950FB" w:rsidRDefault="00E950FB" w:rsidP="00EB3CBD">
      <w:pPr>
        <w:spacing w:line="312" w:lineRule="auto"/>
      </w:pPr>
    </w:p>
    <w:p w14:paraId="512E6D82" w14:textId="77777777" w:rsidR="00E950FB" w:rsidRDefault="00000000" w:rsidP="00EB3CBD">
      <w:pPr>
        <w:pStyle w:val="Heading1"/>
        <w:spacing w:line="312" w:lineRule="auto"/>
      </w:pPr>
      <w:r>
        <w:t>1  Die Kernthese: Warum sich die Lehrerrolle wandeln muss</w:t>
      </w:r>
    </w:p>
    <w:p w14:paraId="7D2C0597" w14:textId="47EA46AE" w:rsidR="00E950FB" w:rsidRDefault="00000000" w:rsidP="00EB3CBD">
      <w:pPr>
        <w:spacing w:before="40" w:after="100" w:line="312" w:lineRule="auto"/>
      </w:pPr>
      <w:r>
        <w:t xml:space="preserve">Wenn Schüler jederzeit Zugang zu einem System haben, das Fakten erklären, Aufgaben lösen und Texte generieren kann, dann verändert sich fundamental, </w:t>
      </w:r>
      <w:r>
        <w:rPr>
          <w:b/>
          <w:bCs/>
        </w:rPr>
        <w:t>wofür Lehrkräfte gebraucht werden.</w:t>
      </w:r>
    </w:p>
    <w:p w14:paraId="4221E6E4" w14:textId="7A3E8529" w:rsidR="00E950FB" w:rsidRDefault="00000000" w:rsidP="00EB3CBD">
      <w:pPr>
        <w:spacing w:before="40" w:after="100" w:line="312" w:lineRule="auto"/>
      </w:pPr>
      <w:r>
        <w:t xml:space="preserve">Die traditionelle Rolle als primäre Wissensquelle wird zunehmend von KI-Systemen übernommen – oder zumindest ergänzt. Was KI jedoch </w:t>
      </w:r>
      <w:r>
        <w:rPr>
          <w:b/>
          <w:bCs/>
          <w:i/>
          <w:iCs/>
        </w:rPr>
        <w:t>nicht</w:t>
      </w:r>
      <w:r>
        <w:t xml:space="preserve"> leisten kann, ist genau das, was Lernen im Kern ausmacht: Beziehung, Vertrauen, emotionale Unterstützung und ethische Orientierung. Genau hier liegt die Zukunft des Lehrerberufs.</w:t>
      </w:r>
    </w:p>
    <w:tbl>
      <w:tblPr>
        <w:tblW w:w="10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8"/>
      </w:tblGrid>
      <w:tr w:rsidR="00E950FB" w14:paraId="6FD7E75D" w14:textId="77777777" w:rsidTr="00F922EA">
        <w:tblPrEx>
          <w:tblCellMar>
            <w:top w:w="0" w:type="dxa"/>
            <w:bottom w:w="0" w:type="dxa"/>
          </w:tblCellMar>
        </w:tblPrEx>
        <w:tc>
          <w:tcPr>
            <w:tcW w:w="10328" w:type="dxa"/>
            <w:tcBorders>
              <w:top w:val="none" w:sz="0" w:space="0" w:color="FFFFFF"/>
              <w:left w:val="single" w:sz="16" w:space="0" w:color="2980B9"/>
              <w:bottom w:val="none" w:sz="0" w:space="0" w:color="FFFFFF"/>
              <w:right w:val="none" w:sz="0" w:space="0" w:color="FFFFFF"/>
            </w:tcBorders>
            <w:shd w:val="clear" w:color="auto" w:fill="F2F4F4"/>
            <w:tcMar>
              <w:top w:w="140" w:type="dxa"/>
              <w:left w:w="240" w:type="dxa"/>
              <w:bottom w:w="140" w:type="dxa"/>
              <w:right w:w="200" w:type="dxa"/>
            </w:tcMar>
          </w:tcPr>
          <w:p w14:paraId="29A3899A" w14:textId="77777777" w:rsidR="00E950FB" w:rsidRDefault="00000000" w:rsidP="00EB3CBD">
            <w:pPr>
              <w:spacing w:after="60" w:line="312" w:lineRule="auto"/>
            </w:pPr>
            <w:r>
              <w:rPr>
                <w:i/>
                <w:iCs/>
                <w:sz w:val="22"/>
                <w:szCs w:val="22"/>
              </w:rPr>
              <w:t>„It is teachers who have created positive teacher-student relationships that are more likely to have the above-average effects on student achievement.“</w:t>
            </w:r>
          </w:p>
          <w:p w14:paraId="01E2AB72" w14:textId="77777777" w:rsidR="00E950FB" w:rsidRDefault="00000000" w:rsidP="00EB3CBD">
            <w:pPr>
              <w:spacing w:line="312" w:lineRule="auto"/>
            </w:pPr>
            <w:r>
              <w:rPr>
                <w:color w:val="7F8C8D"/>
                <w:sz w:val="19"/>
                <w:szCs w:val="19"/>
              </w:rPr>
              <w:t>— John Hattie, Visible Learning (2009)</w:t>
            </w:r>
          </w:p>
        </w:tc>
      </w:tr>
    </w:tbl>
    <w:p w14:paraId="48D3C868" w14:textId="77777777" w:rsidR="00E950FB" w:rsidRDefault="00E950FB" w:rsidP="00EB3CBD">
      <w:pPr>
        <w:spacing w:before="40" w:after="100" w:line="312" w:lineRule="auto"/>
      </w:pPr>
    </w:p>
    <w:p w14:paraId="6FD729EE" w14:textId="0AA57B1F" w:rsidR="00E950FB" w:rsidRDefault="00000000" w:rsidP="00EB3CBD">
      <w:pPr>
        <w:pStyle w:val="Heading1"/>
        <w:spacing w:line="312" w:lineRule="auto"/>
      </w:pPr>
      <w:r>
        <w:t>2  Die empirische Basis: Was die Forschung zeigt</w:t>
      </w:r>
      <w:r w:rsidR="00EB3CBD">
        <w:br/>
      </w:r>
      <w:r>
        <w:rPr>
          <w:color w:val="2980B9"/>
          <w:sz w:val="25"/>
          <w:szCs w:val="25"/>
        </w:rPr>
        <w:t>2.1  Hattie: Beziehung als Lernturbo</w:t>
      </w:r>
    </w:p>
    <w:p w14:paraId="2C7074B1" w14:textId="77777777" w:rsidR="00E950FB" w:rsidRDefault="00000000" w:rsidP="00EB3CBD">
      <w:pPr>
        <w:spacing w:before="40" w:after="100" w:line="312" w:lineRule="auto"/>
      </w:pPr>
      <w:r>
        <w:t xml:space="preserve">John Hatties Mega-Analyse „Visible Learning“ (2009, aktualisiert bis 2024) ist die umfangreichste empirische Studie zu Einflussfaktoren auf schulischen Lernerfolg: Über </w:t>
      </w:r>
      <w:r>
        <w:rPr>
          <w:b/>
          <w:bCs/>
        </w:rPr>
        <w:t>1.500 Meta-Analysen, 90.000 Einzelstudien, Millionen von Schülern</w:t>
      </w:r>
      <w:r>
        <w:t>. Hattie nutzt „Effektstärken“ (effect sizes) als Maßeinheit: Ein Wert von 0,40 entspricht dem durchschnittlichen Lernfortschritt eines Schuljahres. Alles über 0,40 ist überdurchschnittlich wirksam.</w:t>
      </w:r>
    </w:p>
    <w:p w14:paraId="71396D0F" w14:textId="77777777" w:rsidR="00E950FB" w:rsidRDefault="00E950FB" w:rsidP="00EB3CBD">
      <w:pPr>
        <w:spacing w:before="40" w:after="100" w:line="312" w:lineRule="auto"/>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6"/>
        <w:gridCol w:w="2693"/>
        <w:gridCol w:w="2268"/>
      </w:tblGrid>
      <w:tr w:rsidR="00E950FB" w14:paraId="31708E70" w14:textId="77777777" w:rsidTr="00F922EA">
        <w:tblPrEx>
          <w:tblCellMar>
            <w:top w:w="0" w:type="dxa"/>
            <w:bottom w:w="0" w:type="dxa"/>
          </w:tblCellMar>
        </w:tblPrEx>
        <w:tc>
          <w:tcPr>
            <w:tcW w:w="538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319D295" w14:textId="77777777" w:rsidR="00E950FB" w:rsidRDefault="00000000" w:rsidP="00EB3CBD">
            <w:pPr>
              <w:spacing w:line="312" w:lineRule="auto"/>
            </w:pPr>
            <w:r>
              <w:rPr>
                <w:b/>
                <w:bCs/>
                <w:color w:val="FFFFFF"/>
                <w:sz w:val="19"/>
                <w:szCs w:val="19"/>
              </w:rPr>
              <w:t>Einflussfaktor</w:t>
            </w:r>
          </w:p>
        </w:tc>
        <w:tc>
          <w:tcPr>
            <w:tcW w:w="2693"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50B07AD1" w14:textId="77777777" w:rsidR="00E950FB" w:rsidRDefault="00000000" w:rsidP="00EB3CBD">
            <w:pPr>
              <w:spacing w:line="312" w:lineRule="auto"/>
            </w:pPr>
            <w:r>
              <w:rPr>
                <w:b/>
                <w:bCs/>
                <w:color w:val="FFFFFF"/>
                <w:sz w:val="19"/>
                <w:szCs w:val="19"/>
              </w:rPr>
              <w:t>Effektstärke</w:t>
            </w:r>
          </w:p>
        </w:tc>
        <w:tc>
          <w:tcPr>
            <w:tcW w:w="2268"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D6471DB" w14:textId="77777777" w:rsidR="00E950FB" w:rsidRDefault="00000000" w:rsidP="00EB3CBD">
            <w:pPr>
              <w:spacing w:line="312" w:lineRule="auto"/>
            </w:pPr>
            <w:r>
              <w:rPr>
                <w:b/>
                <w:bCs/>
                <w:color w:val="FFFFFF"/>
                <w:sz w:val="19"/>
                <w:szCs w:val="19"/>
              </w:rPr>
              <w:t>Einordnung</w:t>
            </w:r>
          </w:p>
        </w:tc>
      </w:tr>
      <w:tr w:rsidR="00E950FB" w14:paraId="2774C556" w14:textId="77777777" w:rsidTr="00F922EA">
        <w:tblPrEx>
          <w:tblCellMar>
            <w:top w:w="0" w:type="dxa"/>
            <w:bottom w:w="0" w:type="dxa"/>
          </w:tblCellMar>
        </w:tblPrEx>
        <w:tc>
          <w:tcPr>
            <w:tcW w:w="5386" w:type="dxa"/>
            <w:tcBorders>
              <w:top w:val="single" w:sz="1" w:space="0" w:color="BDC3C7"/>
              <w:left w:val="single" w:sz="1" w:space="0" w:color="BDC3C7"/>
              <w:bottom w:val="single" w:sz="1" w:space="0" w:color="BDC3C7"/>
              <w:right w:val="single" w:sz="1" w:space="0" w:color="BDC3C7"/>
            </w:tcBorders>
            <w:shd w:val="clear" w:color="auto" w:fill="F2F4F4"/>
            <w:tcMar>
              <w:top w:w="80" w:type="dxa"/>
              <w:left w:w="120" w:type="dxa"/>
              <w:bottom w:w="80" w:type="dxa"/>
              <w:right w:w="120" w:type="dxa"/>
            </w:tcMar>
          </w:tcPr>
          <w:p w14:paraId="46153B26" w14:textId="77777777" w:rsidR="00E950FB" w:rsidRDefault="00000000" w:rsidP="00EB3CBD">
            <w:pPr>
              <w:spacing w:line="312" w:lineRule="auto"/>
            </w:pPr>
            <w:r>
              <w:rPr>
                <w:sz w:val="19"/>
                <w:szCs w:val="19"/>
              </w:rPr>
              <w:t>Selbsteinschätzung der Schüler (Self-Reported Grades)</w:t>
            </w:r>
          </w:p>
        </w:tc>
        <w:tc>
          <w:tcPr>
            <w:tcW w:w="2693" w:type="dxa"/>
            <w:tcBorders>
              <w:top w:val="single" w:sz="1" w:space="0" w:color="BDC3C7"/>
              <w:left w:val="single" w:sz="1" w:space="0" w:color="BDC3C7"/>
              <w:bottom w:val="single" w:sz="1" w:space="0" w:color="BDC3C7"/>
              <w:right w:val="single" w:sz="1" w:space="0" w:color="BDC3C7"/>
            </w:tcBorders>
            <w:shd w:val="clear" w:color="auto" w:fill="F2F4F4"/>
            <w:tcMar>
              <w:top w:w="80" w:type="dxa"/>
              <w:left w:w="120" w:type="dxa"/>
              <w:bottom w:w="80" w:type="dxa"/>
              <w:right w:w="120" w:type="dxa"/>
            </w:tcMar>
          </w:tcPr>
          <w:p w14:paraId="378B0030" w14:textId="77777777" w:rsidR="00E950FB" w:rsidRDefault="00000000" w:rsidP="00EB3CBD">
            <w:pPr>
              <w:spacing w:line="312" w:lineRule="auto"/>
            </w:pPr>
            <w:r>
              <w:rPr>
                <w:b/>
                <w:bCs/>
                <w:sz w:val="19"/>
                <w:szCs w:val="19"/>
              </w:rPr>
              <w:t>1,44</w:t>
            </w:r>
          </w:p>
        </w:tc>
        <w:tc>
          <w:tcPr>
            <w:tcW w:w="2268" w:type="dxa"/>
            <w:tcBorders>
              <w:top w:val="single" w:sz="1" w:space="0" w:color="BDC3C7"/>
              <w:left w:val="single" w:sz="1" w:space="0" w:color="BDC3C7"/>
              <w:bottom w:val="single" w:sz="1" w:space="0" w:color="BDC3C7"/>
              <w:right w:val="single" w:sz="1" w:space="0" w:color="BDC3C7"/>
            </w:tcBorders>
            <w:shd w:val="clear" w:color="auto" w:fill="F2F4F4"/>
            <w:tcMar>
              <w:top w:w="80" w:type="dxa"/>
              <w:left w:w="120" w:type="dxa"/>
              <w:bottom w:w="80" w:type="dxa"/>
              <w:right w:w="120" w:type="dxa"/>
            </w:tcMar>
          </w:tcPr>
          <w:p w14:paraId="6A93140A" w14:textId="77777777" w:rsidR="00E950FB" w:rsidRDefault="00000000" w:rsidP="00EB3CBD">
            <w:pPr>
              <w:spacing w:line="312" w:lineRule="auto"/>
            </w:pPr>
            <w:r>
              <w:rPr>
                <w:sz w:val="19"/>
                <w:szCs w:val="19"/>
              </w:rPr>
              <w:t>Extrem hoch</w:t>
            </w:r>
          </w:p>
        </w:tc>
      </w:tr>
      <w:tr w:rsidR="00E950FB" w14:paraId="4BC41DCA" w14:textId="77777777" w:rsidTr="00F922EA">
        <w:tblPrEx>
          <w:tblCellMar>
            <w:top w:w="0" w:type="dxa"/>
            <w:bottom w:w="0" w:type="dxa"/>
          </w:tblCellMar>
        </w:tblPrEx>
        <w:tc>
          <w:tcPr>
            <w:tcW w:w="538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C337D4" w14:textId="77777777" w:rsidR="00E950FB" w:rsidRDefault="00000000" w:rsidP="00EB3CBD">
            <w:pPr>
              <w:spacing w:line="312" w:lineRule="auto"/>
            </w:pPr>
            <w:r>
              <w:rPr>
                <w:sz w:val="19"/>
                <w:szCs w:val="19"/>
              </w:rPr>
              <w:t>Lehrer-Glaubwürdigkeit (Teacher Credibility)</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4193B5" w14:textId="77777777" w:rsidR="00E950FB" w:rsidRDefault="00000000" w:rsidP="00EB3CBD">
            <w:pPr>
              <w:spacing w:line="312" w:lineRule="auto"/>
            </w:pPr>
            <w:r>
              <w:rPr>
                <w:b/>
                <w:bCs/>
                <w:sz w:val="19"/>
                <w:szCs w:val="19"/>
              </w:rPr>
              <w:t>1,09</w:t>
            </w:r>
          </w:p>
        </w:tc>
        <w:tc>
          <w:tcPr>
            <w:tcW w:w="2268"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CC82D7" w14:textId="77777777" w:rsidR="00E950FB" w:rsidRDefault="00000000" w:rsidP="00EB3CBD">
            <w:pPr>
              <w:spacing w:line="312" w:lineRule="auto"/>
            </w:pPr>
            <w:r>
              <w:rPr>
                <w:sz w:val="19"/>
                <w:szCs w:val="19"/>
              </w:rPr>
              <w:t>Extrem hoch</w:t>
            </w:r>
          </w:p>
        </w:tc>
      </w:tr>
      <w:tr w:rsidR="00E950FB" w14:paraId="2A5E71F8" w14:textId="77777777" w:rsidTr="00F922EA">
        <w:tblPrEx>
          <w:tblCellMar>
            <w:top w:w="0" w:type="dxa"/>
            <w:bottom w:w="0" w:type="dxa"/>
          </w:tblCellMar>
        </w:tblPrEx>
        <w:tc>
          <w:tcPr>
            <w:tcW w:w="5386" w:type="dxa"/>
            <w:tcBorders>
              <w:top w:val="single" w:sz="1" w:space="0" w:color="BDC3C7"/>
              <w:left w:val="single" w:sz="1" w:space="0" w:color="BDC3C7"/>
              <w:bottom w:val="single" w:sz="1" w:space="0" w:color="BDC3C7"/>
              <w:right w:val="single" w:sz="1" w:space="0" w:color="BDC3C7"/>
            </w:tcBorders>
            <w:shd w:val="clear" w:color="auto" w:fill="F2F4F4"/>
            <w:tcMar>
              <w:top w:w="80" w:type="dxa"/>
              <w:left w:w="120" w:type="dxa"/>
              <w:bottom w:w="80" w:type="dxa"/>
              <w:right w:w="120" w:type="dxa"/>
            </w:tcMar>
          </w:tcPr>
          <w:p w14:paraId="3DB7A440" w14:textId="77777777" w:rsidR="00E950FB" w:rsidRDefault="00000000" w:rsidP="00EB3CBD">
            <w:pPr>
              <w:spacing w:line="312" w:lineRule="auto"/>
            </w:pPr>
            <w:r>
              <w:rPr>
                <w:sz w:val="19"/>
                <w:szCs w:val="19"/>
              </w:rPr>
              <w:t>Lehrerklarheit (Teacher Clarity)</w:t>
            </w:r>
          </w:p>
        </w:tc>
        <w:tc>
          <w:tcPr>
            <w:tcW w:w="2693" w:type="dxa"/>
            <w:tcBorders>
              <w:top w:val="single" w:sz="1" w:space="0" w:color="BDC3C7"/>
              <w:left w:val="single" w:sz="1" w:space="0" w:color="BDC3C7"/>
              <w:bottom w:val="single" w:sz="1" w:space="0" w:color="BDC3C7"/>
              <w:right w:val="single" w:sz="1" w:space="0" w:color="BDC3C7"/>
            </w:tcBorders>
            <w:shd w:val="clear" w:color="auto" w:fill="F2F4F4"/>
            <w:tcMar>
              <w:top w:w="80" w:type="dxa"/>
              <w:left w:w="120" w:type="dxa"/>
              <w:bottom w:w="80" w:type="dxa"/>
              <w:right w:w="120" w:type="dxa"/>
            </w:tcMar>
          </w:tcPr>
          <w:p w14:paraId="49250B3C" w14:textId="77777777" w:rsidR="00E950FB" w:rsidRDefault="00000000" w:rsidP="00EB3CBD">
            <w:pPr>
              <w:spacing w:line="312" w:lineRule="auto"/>
            </w:pPr>
            <w:r>
              <w:rPr>
                <w:b/>
                <w:bCs/>
                <w:sz w:val="19"/>
                <w:szCs w:val="19"/>
              </w:rPr>
              <w:t>0,75</w:t>
            </w:r>
          </w:p>
        </w:tc>
        <w:tc>
          <w:tcPr>
            <w:tcW w:w="2268" w:type="dxa"/>
            <w:tcBorders>
              <w:top w:val="single" w:sz="1" w:space="0" w:color="BDC3C7"/>
              <w:left w:val="single" w:sz="1" w:space="0" w:color="BDC3C7"/>
              <w:bottom w:val="single" w:sz="1" w:space="0" w:color="BDC3C7"/>
              <w:right w:val="single" w:sz="1" w:space="0" w:color="BDC3C7"/>
            </w:tcBorders>
            <w:shd w:val="clear" w:color="auto" w:fill="F2F4F4"/>
            <w:tcMar>
              <w:top w:w="80" w:type="dxa"/>
              <w:left w:w="120" w:type="dxa"/>
              <w:bottom w:w="80" w:type="dxa"/>
              <w:right w:w="120" w:type="dxa"/>
            </w:tcMar>
          </w:tcPr>
          <w:p w14:paraId="2D2CCA6D" w14:textId="77777777" w:rsidR="00E950FB" w:rsidRDefault="00000000" w:rsidP="00EB3CBD">
            <w:pPr>
              <w:spacing w:line="312" w:lineRule="auto"/>
            </w:pPr>
            <w:r>
              <w:rPr>
                <w:sz w:val="19"/>
                <w:szCs w:val="19"/>
              </w:rPr>
              <w:t>Sehr hoch</w:t>
            </w:r>
          </w:p>
        </w:tc>
      </w:tr>
      <w:tr w:rsidR="00E950FB" w14:paraId="4A2BC428" w14:textId="77777777" w:rsidTr="00F922EA">
        <w:tblPrEx>
          <w:tblCellMar>
            <w:top w:w="0" w:type="dxa"/>
            <w:bottom w:w="0" w:type="dxa"/>
          </w:tblCellMar>
        </w:tblPrEx>
        <w:tc>
          <w:tcPr>
            <w:tcW w:w="538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46FDAE" w14:textId="77777777" w:rsidR="00E950FB" w:rsidRDefault="00000000" w:rsidP="00EB3CBD">
            <w:pPr>
              <w:spacing w:line="312" w:lineRule="auto"/>
            </w:pPr>
            <w:r>
              <w:rPr>
                <w:sz w:val="19"/>
                <w:szCs w:val="19"/>
              </w:rPr>
              <w:t>Feedback (formativ)</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7EB3BC" w14:textId="77777777" w:rsidR="00E950FB" w:rsidRDefault="00000000" w:rsidP="00EB3CBD">
            <w:pPr>
              <w:spacing w:line="312" w:lineRule="auto"/>
            </w:pPr>
            <w:r>
              <w:rPr>
                <w:b/>
                <w:bCs/>
                <w:sz w:val="19"/>
                <w:szCs w:val="19"/>
              </w:rPr>
              <w:t>0,73</w:t>
            </w:r>
          </w:p>
        </w:tc>
        <w:tc>
          <w:tcPr>
            <w:tcW w:w="2268"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C1FDA0" w14:textId="77777777" w:rsidR="00E950FB" w:rsidRDefault="00000000" w:rsidP="00EB3CBD">
            <w:pPr>
              <w:spacing w:line="312" w:lineRule="auto"/>
            </w:pPr>
            <w:r>
              <w:rPr>
                <w:sz w:val="19"/>
                <w:szCs w:val="19"/>
              </w:rPr>
              <w:t>Sehr hoch</w:t>
            </w:r>
          </w:p>
        </w:tc>
      </w:tr>
      <w:tr w:rsidR="00E950FB" w14:paraId="05C1B8C7" w14:textId="77777777" w:rsidTr="00F922EA">
        <w:tblPrEx>
          <w:tblCellMar>
            <w:top w:w="0" w:type="dxa"/>
            <w:bottom w:w="0" w:type="dxa"/>
          </w:tblCellMar>
        </w:tblPrEx>
        <w:tc>
          <w:tcPr>
            <w:tcW w:w="5386"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0C1114FE" w14:textId="77777777" w:rsidR="00E950FB" w:rsidRDefault="00000000" w:rsidP="00EB3CBD">
            <w:pPr>
              <w:spacing w:line="312" w:lineRule="auto"/>
            </w:pPr>
            <w:r>
              <w:rPr>
                <w:b/>
                <w:bCs/>
                <w:sz w:val="19"/>
                <w:szCs w:val="19"/>
              </w:rPr>
              <w:t>Lehrer-Schüler-Beziehung</w:t>
            </w:r>
          </w:p>
        </w:tc>
        <w:tc>
          <w:tcPr>
            <w:tcW w:w="2693"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065EFB51" w14:textId="77777777" w:rsidR="00E950FB" w:rsidRDefault="00000000" w:rsidP="00EB3CBD">
            <w:pPr>
              <w:spacing w:line="312" w:lineRule="auto"/>
            </w:pPr>
            <w:r>
              <w:rPr>
                <w:b/>
                <w:bCs/>
                <w:color w:val="2980B9"/>
                <w:sz w:val="19"/>
                <w:szCs w:val="19"/>
              </w:rPr>
              <w:t>0,72</w:t>
            </w:r>
          </w:p>
        </w:tc>
        <w:tc>
          <w:tcPr>
            <w:tcW w:w="2268"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04DBF7E5" w14:textId="77777777" w:rsidR="00E950FB" w:rsidRDefault="00000000" w:rsidP="00EB3CBD">
            <w:pPr>
              <w:spacing w:line="312" w:lineRule="auto"/>
            </w:pPr>
            <w:r>
              <w:rPr>
                <w:sz w:val="19"/>
                <w:szCs w:val="19"/>
              </w:rPr>
              <w:t>Sehr hoch</w:t>
            </w:r>
          </w:p>
        </w:tc>
      </w:tr>
      <w:tr w:rsidR="00E950FB" w14:paraId="38B5103A" w14:textId="77777777" w:rsidTr="00F922EA">
        <w:tblPrEx>
          <w:tblCellMar>
            <w:top w:w="0" w:type="dxa"/>
            <w:bottom w:w="0" w:type="dxa"/>
          </w:tblCellMar>
        </w:tblPrEx>
        <w:tc>
          <w:tcPr>
            <w:tcW w:w="538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DA60B0" w14:textId="77777777" w:rsidR="00E950FB" w:rsidRDefault="00000000" w:rsidP="00EB3CBD">
            <w:pPr>
              <w:spacing w:line="312" w:lineRule="auto"/>
            </w:pPr>
            <w:r>
              <w:rPr>
                <w:sz w:val="19"/>
                <w:szCs w:val="19"/>
              </w:rPr>
              <w:t>Direkte Instruktion</w:t>
            </w:r>
          </w:p>
        </w:tc>
        <w:tc>
          <w:tcPr>
            <w:tcW w:w="269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BC3B32" w14:textId="77777777" w:rsidR="00E950FB" w:rsidRDefault="00000000" w:rsidP="00EB3CBD">
            <w:pPr>
              <w:spacing w:line="312" w:lineRule="auto"/>
            </w:pPr>
            <w:r>
              <w:rPr>
                <w:b/>
                <w:bCs/>
                <w:sz w:val="19"/>
                <w:szCs w:val="19"/>
              </w:rPr>
              <w:t>0,59</w:t>
            </w:r>
          </w:p>
        </w:tc>
        <w:tc>
          <w:tcPr>
            <w:tcW w:w="2268"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37BF5D" w14:textId="77777777" w:rsidR="00E950FB" w:rsidRDefault="00000000" w:rsidP="00EB3CBD">
            <w:pPr>
              <w:spacing w:line="312" w:lineRule="auto"/>
            </w:pPr>
            <w:r>
              <w:rPr>
                <w:sz w:val="19"/>
                <w:szCs w:val="19"/>
              </w:rPr>
              <w:t>Hoch</w:t>
            </w:r>
          </w:p>
        </w:tc>
      </w:tr>
      <w:tr w:rsidR="00E950FB" w14:paraId="65134479" w14:textId="77777777" w:rsidTr="00F922EA">
        <w:tblPrEx>
          <w:tblCellMar>
            <w:top w:w="0" w:type="dxa"/>
            <w:bottom w:w="0" w:type="dxa"/>
          </w:tblCellMar>
        </w:tblPrEx>
        <w:tc>
          <w:tcPr>
            <w:tcW w:w="5386" w:type="dxa"/>
            <w:tcBorders>
              <w:top w:val="single" w:sz="1" w:space="0" w:color="BDC3C7"/>
              <w:left w:val="single" w:sz="1" w:space="0" w:color="BDC3C7"/>
              <w:bottom w:val="single" w:sz="1" w:space="0" w:color="BDC3C7"/>
              <w:right w:val="single" w:sz="1" w:space="0" w:color="BDC3C7"/>
            </w:tcBorders>
            <w:shd w:val="clear" w:color="auto" w:fill="F2F4F4"/>
            <w:tcMar>
              <w:top w:w="80" w:type="dxa"/>
              <w:left w:w="120" w:type="dxa"/>
              <w:bottom w:w="80" w:type="dxa"/>
              <w:right w:w="120" w:type="dxa"/>
            </w:tcMar>
          </w:tcPr>
          <w:p w14:paraId="153C58D0" w14:textId="77777777" w:rsidR="00E950FB" w:rsidRDefault="00000000" w:rsidP="00EB3CBD">
            <w:pPr>
              <w:spacing w:line="312" w:lineRule="auto"/>
            </w:pPr>
            <w:r>
              <w:rPr>
                <w:sz w:val="19"/>
                <w:szCs w:val="19"/>
              </w:rPr>
              <w:t>Durchschnitt aller Interventionen</w:t>
            </w:r>
          </w:p>
        </w:tc>
        <w:tc>
          <w:tcPr>
            <w:tcW w:w="2693" w:type="dxa"/>
            <w:tcBorders>
              <w:top w:val="single" w:sz="1" w:space="0" w:color="BDC3C7"/>
              <w:left w:val="single" w:sz="1" w:space="0" w:color="BDC3C7"/>
              <w:bottom w:val="single" w:sz="1" w:space="0" w:color="BDC3C7"/>
              <w:right w:val="single" w:sz="1" w:space="0" w:color="BDC3C7"/>
            </w:tcBorders>
            <w:shd w:val="clear" w:color="auto" w:fill="F2F4F4"/>
            <w:tcMar>
              <w:top w:w="80" w:type="dxa"/>
              <w:left w:w="120" w:type="dxa"/>
              <w:bottom w:w="80" w:type="dxa"/>
              <w:right w:w="120" w:type="dxa"/>
            </w:tcMar>
          </w:tcPr>
          <w:p w14:paraId="4727F1F0" w14:textId="77777777" w:rsidR="00E950FB" w:rsidRDefault="00000000" w:rsidP="00EB3CBD">
            <w:pPr>
              <w:spacing w:line="312" w:lineRule="auto"/>
            </w:pPr>
            <w:r>
              <w:rPr>
                <w:b/>
                <w:bCs/>
                <w:sz w:val="19"/>
                <w:szCs w:val="19"/>
              </w:rPr>
              <w:t>0,40</w:t>
            </w:r>
          </w:p>
        </w:tc>
        <w:tc>
          <w:tcPr>
            <w:tcW w:w="2268" w:type="dxa"/>
            <w:tcBorders>
              <w:top w:val="single" w:sz="1" w:space="0" w:color="BDC3C7"/>
              <w:left w:val="single" w:sz="1" w:space="0" w:color="BDC3C7"/>
              <w:bottom w:val="single" w:sz="1" w:space="0" w:color="BDC3C7"/>
              <w:right w:val="single" w:sz="1" w:space="0" w:color="BDC3C7"/>
            </w:tcBorders>
            <w:shd w:val="clear" w:color="auto" w:fill="F2F4F4"/>
            <w:tcMar>
              <w:top w:w="80" w:type="dxa"/>
              <w:left w:w="120" w:type="dxa"/>
              <w:bottom w:w="80" w:type="dxa"/>
              <w:right w:w="120" w:type="dxa"/>
            </w:tcMar>
          </w:tcPr>
          <w:p w14:paraId="62795DE0" w14:textId="77777777" w:rsidR="00E950FB" w:rsidRDefault="00000000" w:rsidP="00EB3CBD">
            <w:pPr>
              <w:spacing w:line="312" w:lineRule="auto"/>
            </w:pPr>
            <w:r>
              <w:rPr>
                <w:sz w:val="19"/>
                <w:szCs w:val="19"/>
              </w:rPr>
              <w:t>Referenzwert</w:t>
            </w:r>
          </w:p>
        </w:tc>
      </w:tr>
    </w:tbl>
    <w:p w14:paraId="2F36B797" w14:textId="77777777" w:rsidR="00E950FB" w:rsidRDefault="00E950FB" w:rsidP="00EB3CBD">
      <w:pPr>
        <w:spacing w:before="40" w:after="100" w:line="312" w:lineRule="auto"/>
      </w:pPr>
    </w:p>
    <w:p w14:paraId="395D34AD" w14:textId="791BEB66" w:rsidR="00E950FB" w:rsidRDefault="00000000" w:rsidP="00EB3CBD">
      <w:pPr>
        <w:spacing w:before="40" w:after="100" w:line="312" w:lineRule="auto"/>
      </w:pPr>
      <w:r>
        <w:rPr>
          <w:b/>
          <w:bCs/>
        </w:rPr>
        <w:lastRenderedPageBreak/>
        <w:t xml:space="preserve">Zentrale Erkenntnis: </w:t>
      </w:r>
      <w:r>
        <w:t xml:space="preserve">Die Lehrer-Schüler-Beziehung (Effektstärke 0,72) ist fast doppelt so wirksam wie der Durchschnitt aller pädagogischen Interventionen. Noch stärker wirkt nur die </w:t>
      </w:r>
      <w:r>
        <w:rPr>
          <w:i/>
          <w:iCs/>
        </w:rPr>
        <w:t>Glaubwürdigkeit des Lehrers</w:t>
      </w:r>
      <w:r>
        <w:t xml:space="preserve"> (1,09) – also die Frage, ob Schüler glauben, dass sie von dieser Lehrkraft etwas lernen können. Und genau diese Glaubwürdigkeit entsteht </w:t>
      </w:r>
      <w:r>
        <w:rPr>
          <w:i/>
          <w:iCs/>
        </w:rPr>
        <w:t>aus</w:t>
      </w:r>
      <w:r>
        <w:t xml:space="preserve"> der Beziehung.</w:t>
      </w: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0"/>
      </w:tblGrid>
      <w:tr w:rsidR="00E950FB" w14:paraId="6E49B322" w14:textId="77777777" w:rsidTr="00F922EA">
        <w:tblPrEx>
          <w:tblCellMar>
            <w:top w:w="0" w:type="dxa"/>
            <w:bottom w:w="0" w:type="dxa"/>
          </w:tblCellMar>
        </w:tblPrEx>
        <w:tc>
          <w:tcPr>
            <w:tcW w:w="10470" w:type="dxa"/>
            <w:tcBorders>
              <w:top w:val="none" w:sz="0" w:space="0" w:color="FFFFFF"/>
              <w:left w:val="single" w:sz="16" w:space="0" w:color="2980B9"/>
              <w:bottom w:val="none" w:sz="0" w:space="0" w:color="FFFFFF"/>
              <w:right w:val="none" w:sz="0" w:space="0" w:color="FFFFFF"/>
            </w:tcBorders>
            <w:shd w:val="clear" w:color="auto" w:fill="F2F4F4"/>
            <w:tcMar>
              <w:top w:w="140" w:type="dxa"/>
              <w:left w:w="240" w:type="dxa"/>
              <w:bottom w:w="140" w:type="dxa"/>
              <w:right w:w="200" w:type="dxa"/>
            </w:tcMar>
          </w:tcPr>
          <w:p w14:paraId="47BA9FAC" w14:textId="77777777" w:rsidR="00E950FB" w:rsidRDefault="00000000" w:rsidP="00EB3CBD">
            <w:pPr>
              <w:spacing w:after="60" w:line="312" w:lineRule="auto"/>
            </w:pPr>
            <w:r>
              <w:rPr>
                <w:i/>
                <w:iCs/>
                <w:sz w:val="22"/>
                <w:szCs w:val="22"/>
              </w:rPr>
              <w:t>„Students don’t learn well from grown-ups they don’t like.“</w:t>
            </w:r>
          </w:p>
          <w:p w14:paraId="5D8C669E" w14:textId="77777777" w:rsidR="00E950FB" w:rsidRDefault="00000000" w:rsidP="00EB3CBD">
            <w:pPr>
              <w:spacing w:line="312" w:lineRule="auto"/>
            </w:pPr>
            <w:r>
              <w:rPr>
                <w:color w:val="7F8C8D"/>
                <w:sz w:val="19"/>
                <w:szCs w:val="19"/>
              </w:rPr>
              <w:t>— Fisher &amp; Frey, Kappan Online (2024)</w:t>
            </w:r>
          </w:p>
        </w:tc>
      </w:tr>
    </w:tbl>
    <w:p w14:paraId="3AF06012" w14:textId="524855B2" w:rsidR="00E950FB" w:rsidRDefault="00EB3CBD" w:rsidP="00EB3CBD">
      <w:pPr>
        <w:spacing w:line="312" w:lineRule="auto"/>
      </w:pPr>
      <w:r>
        <w:br/>
      </w:r>
      <w:r>
        <w:br/>
      </w:r>
    </w:p>
    <w:p w14:paraId="32A26F87" w14:textId="12B57A41" w:rsidR="00E950FB" w:rsidRDefault="00F922EA" w:rsidP="00EB3CBD">
      <w:pPr>
        <w:pStyle w:val="Heading1"/>
        <w:spacing w:line="312" w:lineRule="auto"/>
      </w:pPr>
      <w:r>
        <w:rPr>
          <w:b w:val="0"/>
          <w:bCs w:val="0"/>
          <w:noProof/>
        </w:rPr>
        <w:drawing>
          <wp:inline distT="0" distB="0" distL="0" distR="0" wp14:anchorId="571FC317" wp14:editId="788C1B06">
            <wp:extent cx="6641918" cy="439592"/>
            <wp:effectExtent l="0" t="0" r="635" b="5080"/>
            <wp:docPr id="1667245957" name="Picture 1" descr="A blue and orang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5586" name="Picture 1" descr="A blue and orange machine&#10;&#10;AI-generated content may be incorrect."/>
                    <pic:cNvPicPr/>
                  </pic:nvPicPr>
                  <pic:blipFill rotWithShape="1">
                    <a:blip r:embed="rId8">
                      <a:extLst>
                        <a:ext uri="{28A0092B-C50C-407E-A947-70E740481C1C}">
                          <a14:useLocalDpi xmlns:a14="http://schemas.microsoft.com/office/drawing/2010/main" val="0"/>
                        </a:ext>
                      </a:extLst>
                    </a:blip>
                    <a:srcRect l="-3" t="49891" r="3" b="40181"/>
                    <a:stretch>
                      <a:fillRect/>
                    </a:stretch>
                  </pic:blipFill>
                  <pic:spPr bwMode="auto">
                    <a:xfrm>
                      <a:off x="0" y="0"/>
                      <a:ext cx="6645910" cy="439856"/>
                    </a:xfrm>
                    <a:prstGeom prst="rect">
                      <a:avLst/>
                    </a:prstGeom>
                    <a:ln>
                      <a:noFill/>
                    </a:ln>
                    <a:extLst>
                      <a:ext uri="{53640926-AAD7-44D8-BBD7-CCE9431645EC}">
                        <a14:shadowObscured xmlns:a14="http://schemas.microsoft.com/office/drawing/2010/main"/>
                      </a:ext>
                    </a:extLst>
                  </pic:spPr>
                </pic:pic>
              </a:graphicData>
            </a:graphic>
          </wp:inline>
        </w:drawing>
      </w:r>
      <w:r w:rsidR="00000000">
        <w:t>3  Was KI nicht leisten kann – und warum das den Lehrerberuf stärkt</w:t>
      </w:r>
    </w:p>
    <w:p w14:paraId="1C9D517B" w14:textId="77777777" w:rsidR="00E950FB" w:rsidRDefault="00000000" w:rsidP="00EB3CBD">
      <w:pPr>
        <w:pStyle w:val="Heading2"/>
        <w:spacing w:line="312" w:lineRule="auto"/>
      </w:pPr>
      <w:r>
        <w:t>3.1  Emotionale Komplexität übersteigt KI-Fähigkeiten</w:t>
      </w:r>
    </w:p>
    <w:p w14:paraId="5A4BA171" w14:textId="77777777" w:rsidR="00E950FB" w:rsidRDefault="00000000" w:rsidP="00EB3CBD">
      <w:pPr>
        <w:spacing w:before="40" w:after="100" w:line="312" w:lineRule="auto"/>
      </w:pPr>
      <w:r>
        <w:t xml:space="preserve">Eine Studie von De Duro et al. (2025), publiziert in </w:t>
      </w:r>
      <w:r>
        <w:rPr>
          <w:i/>
          <w:iCs/>
        </w:rPr>
        <w:t>Frontiers in Education</w:t>
      </w:r>
      <w:r>
        <w:t xml:space="preserve">, zeigte: Obwohl ChatGPT, Claude und andere LLMs die Struktur therapeutischer Gespräche imitieren können, sind sie </w:t>
      </w:r>
      <w:r>
        <w:rPr>
          <w:b/>
          <w:bCs/>
        </w:rPr>
        <w:t>nicht in der Lage, die emotionale Komplexität menschlicher Interaktionen zu replizieren.</w:t>
      </w:r>
      <w:r>
        <w:t xml:space="preserve"> Die Studie hebt entscheidende Grenzen für den Einsatz von KI in zwischenmenschlich sensiblen Kontexten hervor.</w:t>
      </w:r>
    </w:p>
    <w:p w14:paraId="227D4A03" w14:textId="77777777" w:rsidR="00E950FB" w:rsidRDefault="00000000" w:rsidP="00EB3CBD">
      <w:pPr>
        <w:spacing w:before="40" w:after="100" w:line="312" w:lineRule="auto"/>
      </w:pPr>
      <w:r>
        <w:t xml:space="preserve">Eine weitere SEM-Studie (Structural Equation Modeling) mit 603 Studierenden (ScienceDirect, Oktober 2025) bestätigte: </w:t>
      </w:r>
      <w:r>
        <w:rPr>
          <w:b/>
          <w:bCs/>
        </w:rPr>
        <w:t>Emotionale Unterstützung durch die Lehrkraft bleibt auch in KI-gestützten Lernumgebungen der entscheidende Prädiktor für das Engagement der Lernenden.</w:t>
      </w:r>
      <w:r>
        <w:t xml:space="preserve"> Die Effekte wirkten sowohl direkt als auch indirekt über Selbstwirksamkeit und Resilienz.</w:t>
      </w:r>
    </w:p>
    <w:p w14:paraId="18E90256" w14:textId="08EEC2A9" w:rsidR="00E950FB" w:rsidRDefault="00000000" w:rsidP="00EB3CBD">
      <w:pPr>
        <w:pStyle w:val="Heading2"/>
        <w:spacing w:line="312" w:lineRule="auto"/>
      </w:pPr>
      <w:r>
        <w:t>3.</w:t>
      </w:r>
      <w:r w:rsidR="00F922EA">
        <w:t>2</w:t>
      </w:r>
      <w:r>
        <w:t xml:space="preserve">  Frontiers in Education: Die systematische Literaturanalyse</w:t>
      </w:r>
    </w:p>
    <w:p w14:paraId="3E0B6CBE" w14:textId="77777777" w:rsidR="00E950FB" w:rsidRDefault="00000000" w:rsidP="00EB3CBD">
      <w:pPr>
        <w:spacing w:before="40" w:after="100" w:line="312" w:lineRule="auto"/>
      </w:pPr>
      <w:r>
        <w:t xml:space="preserve">Eine systematische Literaturanalyse von 102 Studien in </w:t>
      </w:r>
      <w:r>
        <w:rPr>
          <w:i/>
          <w:iCs/>
        </w:rPr>
        <w:t>Frontiers in Education</w:t>
      </w:r>
      <w:r>
        <w:t xml:space="preserve"> (2023, mit Updates 2024/25) untersuchte die Veränderung der Lehrerrolle durch KI-Integration. Das zentrale Ergebnis: </w:t>
      </w:r>
      <w:r>
        <w:rPr>
          <w:b/>
          <w:bCs/>
        </w:rPr>
        <w:t>Der menschliche Faktor ist ein unersetzbares Merkmal des Lehrerberufs.</w:t>
      </w:r>
      <w:r>
        <w:t xml:space="preserve"> Die Lehrkraft ist Orientierungspunkt für die Entwicklung der Schüler und Kompass für ihre ethische und moralische Bildung. KI-Werkzeuge, die auf den ersten Blick als Konkurrenz erscheinen, sind tatsächlich </w:t>
      </w:r>
      <w:r>
        <w:rPr>
          <w:i/>
          <w:iCs/>
        </w:rPr>
        <w:t>Ermöglicher jener qualitativ hochwertigen Interaktionen, die den Lernprozess auszeichnen.</w:t>
      </w:r>
    </w:p>
    <w:p w14:paraId="551C5DBA" w14:textId="77777777" w:rsidR="00F922EA" w:rsidRDefault="00F922EA" w:rsidP="00EB3CBD">
      <w:pPr>
        <w:pStyle w:val="Heading1"/>
        <w:spacing w:line="312" w:lineRule="auto"/>
      </w:pPr>
    </w:p>
    <w:p w14:paraId="7EAE0C29" w14:textId="77777777" w:rsidR="00F922EA" w:rsidRDefault="00F922EA" w:rsidP="00EB3CBD">
      <w:pPr>
        <w:pStyle w:val="Heading1"/>
        <w:spacing w:line="312" w:lineRule="auto"/>
      </w:pPr>
    </w:p>
    <w:p w14:paraId="454A163F" w14:textId="77777777" w:rsidR="00EB3CBD" w:rsidRDefault="00EB3CBD">
      <w:pPr>
        <w:rPr>
          <w:b/>
          <w:bCs/>
          <w:color w:val="1A5276"/>
          <w:sz w:val="30"/>
          <w:szCs w:val="30"/>
        </w:rPr>
      </w:pPr>
      <w:r>
        <w:br w:type="page"/>
      </w:r>
    </w:p>
    <w:p w14:paraId="57578426" w14:textId="3C0C7750" w:rsidR="00E950FB" w:rsidRDefault="00F922EA" w:rsidP="00EB3CBD">
      <w:pPr>
        <w:pStyle w:val="Heading1"/>
        <w:spacing w:line="312" w:lineRule="auto"/>
      </w:pPr>
      <w:r>
        <w:rPr>
          <w:b w:val="0"/>
          <w:bCs w:val="0"/>
          <w:noProof/>
        </w:rPr>
        <w:lastRenderedPageBreak/>
        <w:drawing>
          <wp:inline distT="0" distB="0" distL="0" distR="0" wp14:anchorId="32066BFC" wp14:editId="3B696AA1">
            <wp:extent cx="6641918" cy="439592"/>
            <wp:effectExtent l="0" t="0" r="635" b="5080"/>
            <wp:docPr id="710081593" name="Picture 1" descr="A blue and orang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5586" name="Picture 1" descr="A blue and orange machine&#10;&#10;AI-generated content may be incorrect."/>
                    <pic:cNvPicPr/>
                  </pic:nvPicPr>
                  <pic:blipFill rotWithShape="1">
                    <a:blip r:embed="rId8">
                      <a:extLst>
                        <a:ext uri="{28A0092B-C50C-407E-A947-70E740481C1C}">
                          <a14:useLocalDpi xmlns:a14="http://schemas.microsoft.com/office/drawing/2010/main" val="0"/>
                        </a:ext>
                      </a:extLst>
                    </a:blip>
                    <a:srcRect l="-3" t="49891" r="3" b="40181"/>
                    <a:stretch>
                      <a:fillRect/>
                    </a:stretch>
                  </pic:blipFill>
                  <pic:spPr bwMode="auto">
                    <a:xfrm>
                      <a:off x="0" y="0"/>
                      <a:ext cx="6645910" cy="439856"/>
                    </a:xfrm>
                    <a:prstGeom prst="rect">
                      <a:avLst/>
                    </a:prstGeom>
                    <a:ln>
                      <a:noFill/>
                    </a:ln>
                    <a:extLst>
                      <a:ext uri="{53640926-AAD7-44D8-BBD7-CCE9431645EC}">
                        <a14:shadowObscured xmlns:a14="http://schemas.microsoft.com/office/drawing/2010/main"/>
                      </a:ext>
                    </a:extLst>
                  </pic:spPr>
                </pic:pic>
              </a:graphicData>
            </a:graphic>
          </wp:inline>
        </w:drawing>
      </w:r>
      <w:r w:rsidR="00000000">
        <w:t>4  Das neue Rollenmodell: Vier Dimensionen der Lehrkraft im KI-Zeitalter</w:t>
      </w:r>
    </w:p>
    <w:p w14:paraId="53757873" w14:textId="77777777" w:rsidR="00E950FB" w:rsidRDefault="00000000" w:rsidP="00EB3CBD">
      <w:pPr>
        <w:spacing w:before="40" w:after="100" w:line="312" w:lineRule="auto"/>
      </w:pPr>
      <w:r>
        <w:t>Aus der Forschungslage lässt sich ein Rollenmodell ableiten, das die Transformation des Lehrerberufs in vier Dimensionen beschreibt:</w:t>
      </w:r>
    </w:p>
    <w:p w14:paraId="5C9ABB07" w14:textId="77777777" w:rsidR="00E950FB" w:rsidRDefault="00E950FB" w:rsidP="00EB3CBD">
      <w:pPr>
        <w:spacing w:before="40" w:after="100" w:line="312" w:lineRule="auto"/>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70"/>
        <w:gridCol w:w="3119"/>
      </w:tblGrid>
      <w:tr w:rsidR="00E950FB" w14:paraId="6BAD35D0" w14:textId="77777777" w:rsidTr="00EB3CBD">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705E0EC" w14:textId="77777777" w:rsidR="00E950FB" w:rsidRDefault="00000000" w:rsidP="00EB3CBD">
            <w:pPr>
              <w:spacing w:line="312" w:lineRule="auto"/>
            </w:pPr>
            <w:r>
              <w:rPr>
                <w:b/>
                <w:bCs/>
                <w:color w:val="FFFFFF"/>
                <w:sz w:val="19"/>
                <w:szCs w:val="19"/>
              </w:rPr>
              <w:t>Dimension</w:t>
            </w:r>
          </w:p>
        </w:tc>
        <w:tc>
          <w:tcPr>
            <w:tcW w:w="517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7928E5B" w14:textId="77777777" w:rsidR="00E950FB" w:rsidRDefault="00000000" w:rsidP="00EB3CBD">
            <w:pPr>
              <w:spacing w:line="312" w:lineRule="auto"/>
            </w:pPr>
            <w:r>
              <w:rPr>
                <w:b/>
                <w:bCs/>
                <w:color w:val="FFFFFF"/>
                <w:sz w:val="19"/>
                <w:szCs w:val="19"/>
              </w:rPr>
              <w:t>Beschreibung</w:t>
            </w:r>
          </w:p>
        </w:tc>
        <w:tc>
          <w:tcPr>
            <w:tcW w:w="3119"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C6C23FB" w14:textId="77777777" w:rsidR="00E950FB" w:rsidRDefault="00000000" w:rsidP="00EB3CBD">
            <w:pPr>
              <w:spacing w:line="312" w:lineRule="auto"/>
            </w:pPr>
            <w:r>
              <w:rPr>
                <w:b/>
                <w:bCs/>
                <w:color w:val="FFFFFF"/>
                <w:sz w:val="19"/>
                <w:szCs w:val="19"/>
              </w:rPr>
              <w:t>Evidenzbasis</w:t>
            </w:r>
          </w:p>
        </w:tc>
      </w:tr>
      <w:tr w:rsidR="00E950FB" w14:paraId="3B55A9EB" w14:textId="77777777" w:rsidTr="00EB3CBD">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6EF66066" w14:textId="77777777" w:rsidR="00E950FB" w:rsidRDefault="00000000" w:rsidP="00EB3CBD">
            <w:pPr>
              <w:spacing w:line="312" w:lineRule="auto"/>
            </w:pPr>
            <w:r>
              <w:rPr>
                <w:b/>
                <w:bCs/>
                <w:color w:val="2980B9"/>
                <w:sz w:val="19"/>
                <w:szCs w:val="19"/>
              </w:rPr>
              <w:t>Lernbegleiter (Facilitator)</w:t>
            </w:r>
          </w:p>
        </w:tc>
        <w:tc>
          <w:tcPr>
            <w:tcW w:w="517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7CDD2236" w14:textId="77777777" w:rsidR="00E950FB" w:rsidRDefault="00000000" w:rsidP="00EB3CBD">
            <w:pPr>
              <w:spacing w:line="312" w:lineRule="auto"/>
            </w:pPr>
            <w:r>
              <w:rPr>
                <w:sz w:val="19"/>
                <w:szCs w:val="19"/>
              </w:rPr>
              <w:t>Moderiert Lernprozesse statt Wissen vorzutragen. Stellt Fragen, die zum Denken anregen. Hilft Schülern, KI-Ergebnisse kritisch einzuordnen.</w:t>
            </w:r>
          </w:p>
        </w:tc>
        <w:tc>
          <w:tcPr>
            <w:tcW w:w="3119"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4A7666E1" w14:textId="77777777" w:rsidR="00E950FB" w:rsidRDefault="00000000" w:rsidP="00EB3CBD">
            <w:pPr>
              <w:spacing w:line="312" w:lineRule="auto"/>
            </w:pPr>
            <w:r>
              <w:rPr>
                <w:i/>
                <w:iCs/>
                <w:color w:val="7F8C8D"/>
                <w:sz w:val="17"/>
                <w:szCs w:val="17"/>
              </w:rPr>
              <w:t>Hattie (2009): Teacher Clarity d=0,75 EdTech Hub (2025)</w:t>
            </w:r>
          </w:p>
        </w:tc>
      </w:tr>
      <w:tr w:rsidR="00E950FB" w14:paraId="33A43B73" w14:textId="77777777" w:rsidTr="00EB3CBD">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647097" w14:textId="77777777" w:rsidR="00E950FB" w:rsidRDefault="00000000" w:rsidP="00EB3CBD">
            <w:pPr>
              <w:spacing w:line="312" w:lineRule="auto"/>
            </w:pPr>
            <w:r>
              <w:rPr>
                <w:b/>
                <w:bCs/>
                <w:color w:val="2980B9"/>
                <w:sz w:val="19"/>
                <w:szCs w:val="19"/>
              </w:rPr>
              <w:t>Coach (Individuell)</w:t>
            </w:r>
          </w:p>
        </w:tc>
        <w:tc>
          <w:tcPr>
            <w:tcW w:w="517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4030FE" w14:textId="66EA57E6" w:rsidR="00E950FB" w:rsidRDefault="00000000" w:rsidP="00EB3CBD">
            <w:pPr>
              <w:spacing w:line="312" w:lineRule="auto"/>
            </w:pPr>
            <w:r>
              <w:rPr>
                <w:sz w:val="19"/>
                <w:szCs w:val="19"/>
              </w:rPr>
              <w:t>Individuelle Betreuung, formatives Feedback, Lernweg</w:t>
            </w:r>
            <w:r w:rsidR="00EB3CBD">
              <w:rPr>
                <w:sz w:val="19"/>
                <w:szCs w:val="19"/>
              </w:rPr>
              <w:t>-</w:t>
            </w:r>
            <w:r>
              <w:rPr>
                <w:sz w:val="19"/>
                <w:szCs w:val="19"/>
              </w:rPr>
              <w:t>begleitung. Erkennt Blockaden und emotionale Zustände.</w:t>
            </w:r>
          </w:p>
        </w:tc>
        <w:tc>
          <w:tcPr>
            <w:tcW w:w="3119"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A4357A" w14:textId="66257D66" w:rsidR="00E950FB" w:rsidRDefault="00000000" w:rsidP="00EB3CBD">
            <w:pPr>
              <w:spacing w:line="312" w:lineRule="auto"/>
            </w:pPr>
            <w:r>
              <w:rPr>
                <w:i/>
                <w:iCs/>
                <w:color w:val="7F8C8D"/>
                <w:sz w:val="17"/>
                <w:szCs w:val="17"/>
              </w:rPr>
              <w:t>Kraft et al. (2018): Coaching-Effekt</w:t>
            </w:r>
            <w:r w:rsidR="00EB3CBD">
              <w:rPr>
                <w:i/>
                <w:iCs/>
                <w:color w:val="7F8C8D"/>
                <w:sz w:val="17"/>
                <w:szCs w:val="17"/>
              </w:rPr>
              <w:t>-</w:t>
            </w:r>
            <w:r>
              <w:rPr>
                <w:i/>
                <w:iCs/>
                <w:color w:val="7F8C8D"/>
                <w:sz w:val="17"/>
                <w:szCs w:val="17"/>
              </w:rPr>
              <w:t>stärke d=0,49 Roorda et al. (2011)</w:t>
            </w:r>
          </w:p>
        </w:tc>
      </w:tr>
      <w:tr w:rsidR="00E950FB" w14:paraId="0610E09B" w14:textId="77777777" w:rsidTr="00EB3CBD">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3E89721C" w14:textId="77777777" w:rsidR="00E950FB" w:rsidRDefault="00000000" w:rsidP="00EB3CBD">
            <w:pPr>
              <w:spacing w:line="312" w:lineRule="auto"/>
            </w:pPr>
            <w:r>
              <w:rPr>
                <w:b/>
                <w:bCs/>
                <w:color w:val="2980B9"/>
                <w:sz w:val="19"/>
                <w:szCs w:val="19"/>
              </w:rPr>
              <w:t>Beziehungsgestalter (Relational)</w:t>
            </w:r>
          </w:p>
        </w:tc>
        <w:tc>
          <w:tcPr>
            <w:tcW w:w="517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39EB7304" w14:textId="77777777" w:rsidR="00E950FB" w:rsidRDefault="00000000" w:rsidP="00EB3CBD">
            <w:pPr>
              <w:spacing w:line="312" w:lineRule="auto"/>
            </w:pPr>
            <w:r>
              <w:rPr>
                <w:sz w:val="19"/>
                <w:szCs w:val="19"/>
              </w:rPr>
              <w:t>Baut Vertrauen auf, schafft psychologische Sicherheit, ist Bezugsperson und Vorbild.</w:t>
            </w:r>
          </w:p>
        </w:tc>
        <w:tc>
          <w:tcPr>
            <w:tcW w:w="3119"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tcPr>
          <w:p w14:paraId="18A827F0" w14:textId="77777777" w:rsidR="00E950FB" w:rsidRDefault="00000000" w:rsidP="00EB3CBD">
            <w:pPr>
              <w:spacing w:line="312" w:lineRule="auto"/>
            </w:pPr>
            <w:r>
              <w:rPr>
                <w:i/>
                <w:iCs/>
                <w:color w:val="7F8C8D"/>
                <w:sz w:val="17"/>
                <w:szCs w:val="17"/>
              </w:rPr>
              <w:t>Hattie: Beziehung d=0,72 Bryk &amp; Schneider (2002) Pianta (1999)</w:t>
            </w:r>
          </w:p>
        </w:tc>
      </w:tr>
      <w:tr w:rsidR="00E950FB" w14:paraId="1C04F85D" w14:textId="77777777" w:rsidTr="00EB3CBD">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85598C" w14:textId="77777777" w:rsidR="00E950FB" w:rsidRDefault="00000000" w:rsidP="00EB3CBD">
            <w:pPr>
              <w:spacing w:line="312" w:lineRule="auto"/>
            </w:pPr>
            <w:r>
              <w:rPr>
                <w:b/>
                <w:bCs/>
                <w:color w:val="2980B9"/>
                <w:sz w:val="19"/>
                <w:szCs w:val="19"/>
              </w:rPr>
              <w:t>Ethischer Kompass (Orientierung)</w:t>
            </w:r>
          </w:p>
        </w:tc>
        <w:tc>
          <w:tcPr>
            <w:tcW w:w="517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C93564" w14:textId="77777777" w:rsidR="00E950FB" w:rsidRDefault="00000000" w:rsidP="00EB3CBD">
            <w:pPr>
              <w:spacing w:line="312" w:lineRule="auto"/>
            </w:pPr>
            <w:r>
              <w:rPr>
                <w:sz w:val="19"/>
                <w:szCs w:val="19"/>
              </w:rPr>
              <w:t>Vermittelt Werte, fördert kritisches Denken, begleitet den verantwortungsvollen Umgang mit KI.</w:t>
            </w:r>
          </w:p>
        </w:tc>
        <w:tc>
          <w:tcPr>
            <w:tcW w:w="3119"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11F587" w14:textId="77777777" w:rsidR="00E950FB" w:rsidRDefault="00000000" w:rsidP="00EB3CBD">
            <w:pPr>
              <w:spacing w:line="312" w:lineRule="auto"/>
            </w:pPr>
            <w:r>
              <w:rPr>
                <w:i/>
                <w:iCs/>
                <w:color w:val="7F8C8D"/>
                <w:sz w:val="17"/>
                <w:szCs w:val="17"/>
              </w:rPr>
              <w:t>UNESCO Teacher Task Force (2025) Frontiers in Education (2023)</w:t>
            </w:r>
          </w:p>
        </w:tc>
      </w:tr>
    </w:tbl>
    <w:p w14:paraId="1C399C66" w14:textId="46445517" w:rsidR="00E950FB" w:rsidRDefault="00E950FB" w:rsidP="00EB3CBD">
      <w:pPr>
        <w:spacing w:line="312" w:lineRule="auto"/>
      </w:pPr>
    </w:p>
    <w:p w14:paraId="6931C91F" w14:textId="76157B53" w:rsidR="00E950FB" w:rsidRDefault="00F922EA" w:rsidP="00EB3CBD">
      <w:pPr>
        <w:pStyle w:val="Heading1"/>
        <w:spacing w:line="312" w:lineRule="auto"/>
      </w:pPr>
      <w:r>
        <w:rPr>
          <w:b w:val="0"/>
          <w:bCs w:val="0"/>
          <w:noProof/>
        </w:rPr>
        <w:drawing>
          <wp:inline distT="0" distB="0" distL="0" distR="0" wp14:anchorId="312917B7" wp14:editId="107F8500">
            <wp:extent cx="6641918" cy="439592"/>
            <wp:effectExtent l="0" t="0" r="635" b="5080"/>
            <wp:docPr id="1028633360" name="Picture 1" descr="A blue and orang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5586" name="Picture 1" descr="A blue and orange machine&#10;&#10;AI-generated content may be incorrect."/>
                    <pic:cNvPicPr/>
                  </pic:nvPicPr>
                  <pic:blipFill rotWithShape="1">
                    <a:blip r:embed="rId8">
                      <a:extLst>
                        <a:ext uri="{28A0092B-C50C-407E-A947-70E740481C1C}">
                          <a14:useLocalDpi xmlns:a14="http://schemas.microsoft.com/office/drawing/2010/main" val="0"/>
                        </a:ext>
                      </a:extLst>
                    </a:blip>
                    <a:srcRect l="-3" t="49891" r="3" b="40181"/>
                    <a:stretch>
                      <a:fillRect/>
                    </a:stretch>
                  </pic:blipFill>
                  <pic:spPr bwMode="auto">
                    <a:xfrm>
                      <a:off x="0" y="0"/>
                      <a:ext cx="6645910" cy="439856"/>
                    </a:xfrm>
                    <a:prstGeom prst="rect">
                      <a:avLst/>
                    </a:prstGeom>
                    <a:ln>
                      <a:noFill/>
                    </a:ln>
                    <a:extLst>
                      <a:ext uri="{53640926-AAD7-44D8-BBD7-CCE9431645EC}">
                        <a14:shadowObscured xmlns:a14="http://schemas.microsoft.com/office/drawing/2010/main"/>
                      </a:ext>
                    </a:extLst>
                  </pic:spPr>
                </pic:pic>
              </a:graphicData>
            </a:graphic>
          </wp:inline>
        </w:drawing>
      </w:r>
      <w:r w:rsidR="00000000">
        <w:t>5  Das KI-Paradox: Je mehr KI, desto wichtiger der Mensch</w:t>
      </w:r>
    </w:p>
    <w:p w14:paraId="35FDA2D3" w14:textId="77777777" w:rsidR="00E950FB" w:rsidRDefault="00000000" w:rsidP="00EB3CBD">
      <w:pPr>
        <w:spacing w:before="40" w:after="100" w:line="312" w:lineRule="auto"/>
      </w:pPr>
      <w:r>
        <w:rPr>
          <w:b/>
          <w:bCs/>
        </w:rPr>
        <w:t xml:space="preserve">Ein zentrales Paradox der KI-Integration in der Bildung lautet: Je leistungsfähiger die technischen Systeme werden, desto wertvoller werden die genuin menschlichen Fähigkeiten der Lehrkraft. </w:t>
      </w:r>
      <w:r>
        <w:t>Dieses Paradox lässt sich an mehreren Stellen empirisch belegen:</w:t>
      </w:r>
    </w:p>
    <w:p w14:paraId="5E5C3618" w14:textId="77777777" w:rsidR="00E950FB" w:rsidRDefault="00000000" w:rsidP="00EB3CBD">
      <w:pPr>
        <w:spacing w:before="200" w:after="100" w:line="312" w:lineRule="auto"/>
      </w:pPr>
      <w:r>
        <w:rPr>
          <w:b/>
          <w:bCs/>
          <w:color w:val="1A5276"/>
          <w:sz w:val="22"/>
          <w:szCs w:val="22"/>
        </w:rPr>
        <w:t>5.1  Der Schereneffekt bei Schülern</w:t>
      </w:r>
    </w:p>
    <w:p w14:paraId="12940E76" w14:textId="77777777" w:rsidR="00E950FB" w:rsidRDefault="00000000" w:rsidP="00EB3CBD">
      <w:pPr>
        <w:spacing w:before="40" w:after="100" w:line="312" w:lineRule="auto"/>
      </w:pPr>
      <w:r>
        <w:t xml:space="preserve">Beobachtungen aus der Unterrichtspraxis und zunehmend auch aus der Forschung zeigen: </w:t>
      </w:r>
      <w:r>
        <w:rPr>
          <w:b/>
          <w:bCs/>
        </w:rPr>
        <w:t>Starke Schüler nutzen KI als Lernverstärker</w:t>
      </w:r>
      <w:r>
        <w:t xml:space="preserve"> (sie stellen bessere Fragen, iterieren, vertiefen), während </w:t>
      </w:r>
      <w:r>
        <w:rPr>
          <w:b/>
          <w:bCs/>
        </w:rPr>
        <w:t>schwache Schüler KI als Abkürzung nutzen</w:t>
      </w:r>
      <w:r>
        <w:t xml:space="preserve"> (Copy-Paste ohne Verständnis). Dies verstärkt bestehende Leistungsunterschiede. Der Brookings-Think-Tank beschreibt dies als „dritte digitale Kluft“: Die Reichen haben Technologie UND Menschen, die ihnen helfen, sie produktiv zu nutzen – die Ärmeren haben nur die Technologie.</w:t>
      </w:r>
    </w:p>
    <w:p w14:paraId="54FB933E" w14:textId="77777777" w:rsidR="00E950FB" w:rsidRDefault="00000000" w:rsidP="00EB3CBD">
      <w:pPr>
        <w:spacing w:before="40" w:after="100" w:line="312" w:lineRule="auto"/>
      </w:pPr>
      <w:r>
        <w:rPr>
          <w:b/>
          <w:bCs/>
        </w:rPr>
        <w:t xml:space="preserve">Genau hier liegt die Schlüsselrolle der Lehrkraft: </w:t>
      </w:r>
      <w:r>
        <w:t>Sie ist diejenige, die den Unterschied macht zwischen einem Schüler, der KI als Lernwerkzeug nutzt, und einem, der sich dahinter versteckt. Diese Differenzierung erfordert Beziehung, Kenntnis des einzelnen Schülers und pädagogisches Fingerspitzengefühl – Kompetenzen, die kein Algorithmus ersetzen kann.</w:t>
      </w:r>
    </w:p>
    <w:p w14:paraId="719AFC02" w14:textId="60709D3C" w:rsidR="00E950FB" w:rsidRDefault="00000000" w:rsidP="00EB3CBD">
      <w:pPr>
        <w:spacing w:before="200" w:after="100" w:line="312" w:lineRule="auto"/>
      </w:pPr>
      <w:r>
        <w:rPr>
          <w:b/>
          <w:bCs/>
          <w:color w:val="1A5276"/>
          <w:sz w:val="22"/>
          <w:szCs w:val="22"/>
        </w:rPr>
        <w:t>5.</w:t>
      </w:r>
      <w:r w:rsidR="00EB3CBD">
        <w:rPr>
          <w:b/>
          <w:bCs/>
          <w:color w:val="1A5276"/>
          <w:sz w:val="22"/>
          <w:szCs w:val="22"/>
        </w:rPr>
        <w:t>2</w:t>
      </w:r>
      <w:r>
        <w:rPr>
          <w:b/>
          <w:bCs/>
          <w:color w:val="1A5276"/>
          <w:sz w:val="22"/>
          <w:szCs w:val="22"/>
        </w:rPr>
        <w:t xml:space="preserve">  Das „Beautiful Dynamic“</w:t>
      </w:r>
    </w:p>
    <w:p w14:paraId="61C2D1E2" w14:textId="77777777" w:rsidR="00E950FB" w:rsidRDefault="00000000" w:rsidP="00EB3CBD">
      <w:pPr>
        <w:spacing w:before="40" w:after="100" w:line="312" w:lineRule="auto"/>
      </w:pPr>
      <w:r>
        <w:t xml:space="preserve">Das UNESCO-Papier (2025) verwendet den Begriff </w:t>
      </w:r>
      <w:r>
        <w:rPr>
          <w:b/>
          <w:bCs/>
          <w:i/>
          <w:iCs/>
        </w:rPr>
        <w:t>„beautiful dynamic between human beings“</w:t>
      </w:r>
      <w:r>
        <w:t xml:space="preserve">, um das zu beschreiben, was im Kern des Lehrens liegt: eine dynamische, lebendige, unvorhersagbare Interaktion zwischen Menschen, die durch gegenseitiges Vertrauen, Neugier und Respekt getragen wird. KI kann diese Dynamik </w:t>
      </w:r>
      <w:r>
        <w:rPr>
          <w:i/>
          <w:iCs/>
        </w:rPr>
        <w:t>unterstützen</w:t>
      </w:r>
      <w:r>
        <w:t xml:space="preserve"> (z.B. durch Freistellung von Routineaufgaben), aber sie kann sie nicht </w:t>
      </w:r>
      <w:r>
        <w:rPr>
          <w:i/>
          <w:iCs/>
        </w:rPr>
        <w:t>erzeugen</w:t>
      </w:r>
      <w:r>
        <w:t>.</w:t>
      </w:r>
    </w:p>
    <w:p w14:paraId="09FAC05E" w14:textId="4102DC05" w:rsidR="00E950FB" w:rsidRDefault="00EB3CBD" w:rsidP="00EB3CBD">
      <w:pPr>
        <w:pStyle w:val="Heading1"/>
        <w:spacing w:line="312" w:lineRule="auto"/>
      </w:pPr>
      <w:r>
        <w:rPr>
          <w:b w:val="0"/>
          <w:bCs w:val="0"/>
          <w:noProof/>
        </w:rPr>
        <w:lastRenderedPageBreak/>
        <w:drawing>
          <wp:inline distT="0" distB="0" distL="0" distR="0" wp14:anchorId="25BF8D00" wp14:editId="40910308">
            <wp:extent cx="6641918" cy="439592"/>
            <wp:effectExtent l="0" t="0" r="635" b="5080"/>
            <wp:docPr id="1457282675" name="Picture 1" descr="A blue and orang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5586" name="Picture 1" descr="A blue and orange machine&#10;&#10;AI-generated content may be incorrect."/>
                    <pic:cNvPicPr/>
                  </pic:nvPicPr>
                  <pic:blipFill rotWithShape="1">
                    <a:blip r:embed="rId8">
                      <a:extLst>
                        <a:ext uri="{28A0092B-C50C-407E-A947-70E740481C1C}">
                          <a14:useLocalDpi xmlns:a14="http://schemas.microsoft.com/office/drawing/2010/main" val="0"/>
                        </a:ext>
                      </a:extLst>
                    </a:blip>
                    <a:srcRect l="-3" t="49891" r="3" b="40181"/>
                    <a:stretch>
                      <a:fillRect/>
                    </a:stretch>
                  </pic:blipFill>
                  <pic:spPr bwMode="auto">
                    <a:xfrm>
                      <a:off x="0" y="0"/>
                      <a:ext cx="6645910" cy="439856"/>
                    </a:xfrm>
                    <a:prstGeom prst="rect">
                      <a:avLst/>
                    </a:prstGeom>
                    <a:ln>
                      <a:noFill/>
                    </a:ln>
                    <a:extLst>
                      <a:ext uri="{53640926-AAD7-44D8-BBD7-CCE9431645EC}">
                        <a14:shadowObscured xmlns:a14="http://schemas.microsoft.com/office/drawing/2010/main"/>
                      </a:ext>
                    </a:extLst>
                  </pic:spPr>
                </pic:pic>
              </a:graphicData>
            </a:graphic>
          </wp:inline>
        </w:drawing>
      </w:r>
      <w:r w:rsidR="00000000">
        <w:t>6  Konkrete Implikationen für den Schulalltag</w:t>
      </w:r>
    </w:p>
    <w:p w14:paraId="73B293E3" w14:textId="77777777" w:rsidR="00E950FB" w:rsidRDefault="00000000" w:rsidP="00EB3CBD">
      <w:pPr>
        <w:pStyle w:val="Heading2"/>
        <w:spacing w:line="312" w:lineRule="auto"/>
      </w:pPr>
      <w:r>
        <w:t>6.1  Was sich ändern muss</w:t>
      </w:r>
    </w:p>
    <w:p w14:paraId="24E05F15" w14:textId="77777777" w:rsidR="00E950FB" w:rsidRDefault="00000000" w:rsidP="00EB3CBD">
      <w:pPr>
        <w:pStyle w:val="ListParagraph"/>
        <w:numPr>
          <w:ilvl w:val="0"/>
          <w:numId w:val="2"/>
        </w:numPr>
        <w:spacing w:before="30" w:after="30" w:line="312" w:lineRule="auto"/>
      </w:pPr>
      <w:r>
        <w:rPr>
          <w:b/>
          <w:bCs/>
        </w:rPr>
        <w:t xml:space="preserve">Zeitbudget umverteilen: </w:t>
      </w:r>
      <w:r>
        <w:t>Weniger Zeit für Wissensvermittlung (die KI übernehmen kann), mehr Zeit für individuelle Gespräche, Feedback und Beziehungsarbeit.</w:t>
      </w:r>
    </w:p>
    <w:p w14:paraId="4EAC6698" w14:textId="77777777" w:rsidR="00E950FB" w:rsidRDefault="00000000" w:rsidP="00EB3CBD">
      <w:pPr>
        <w:pStyle w:val="ListParagraph"/>
        <w:numPr>
          <w:ilvl w:val="0"/>
          <w:numId w:val="2"/>
        </w:numPr>
        <w:spacing w:before="30" w:after="30" w:line="312" w:lineRule="auto"/>
      </w:pPr>
      <w:r>
        <w:rPr>
          <w:b/>
          <w:bCs/>
        </w:rPr>
        <w:t xml:space="preserve">Prüfungsformate überdenken: </w:t>
      </w:r>
      <w:r>
        <w:t>Weg von reinen Wissensabfragen, hin zu Prozessbewertung, mündlichen Prüfungen und Portfolios, die die Auseinandersetzung mit dem Stoff sichtbar machen.</w:t>
      </w:r>
    </w:p>
    <w:p w14:paraId="46E8B760" w14:textId="77777777" w:rsidR="00E950FB" w:rsidRDefault="00000000" w:rsidP="00EB3CBD">
      <w:pPr>
        <w:pStyle w:val="ListParagraph"/>
        <w:numPr>
          <w:ilvl w:val="0"/>
          <w:numId w:val="2"/>
        </w:numPr>
        <w:spacing w:before="30" w:after="30" w:line="312" w:lineRule="auto"/>
      </w:pPr>
      <w:r>
        <w:rPr>
          <w:b/>
          <w:bCs/>
        </w:rPr>
        <w:t xml:space="preserve">KI-Nutzung transparent regeln: </w:t>
      </w:r>
      <w:r>
        <w:t>Ampelsystem (grün/gelb/rot) pro Aufgabe statt pauschaler Verbote.</w:t>
      </w:r>
    </w:p>
    <w:p w14:paraId="68CFB5C4" w14:textId="77777777" w:rsidR="00E950FB" w:rsidRDefault="00000000" w:rsidP="00EB3CBD">
      <w:pPr>
        <w:pStyle w:val="ListParagraph"/>
        <w:numPr>
          <w:ilvl w:val="0"/>
          <w:numId w:val="2"/>
        </w:numPr>
        <w:spacing w:before="30" w:after="30" w:line="312" w:lineRule="auto"/>
      </w:pPr>
      <w:r>
        <w:rPr>
          <w:b/>
          <w:bCs/>
        </w:rPr>
        <w:t xml:space="preserve">Formatives Feedback priorisieren: </w:t>
      </w:r>
      <w:r>
        <w:t>Hattie zeigt: Feedback hat eine Effektstärke von 0,73. KI kann dabei helfen (z.B. erste Textanalyse), aber das pädagogische Gespräch über das Feedback bleibt menschlich.</w:t>
      </w:r>
    </w:p>
    <w:p w14:paraId="037CFC85" w14:textId="77777777" w:rsidR="00E950FB" w:rsidRDefault="00000000" w:rsidP="00EB3CBD">
      <w:pPr>
        <w:pStyle w:val="ListParagraph"/>
        <w:numPr>
          <w:ilvl w:val="0"/>
          <w:numId w:val="2"/>
        </w:numPr>
        <w:spacing w:before="30" w:after="30" w:line="312" w:lineRule="auto"/>
      </w:pPr>
      <w:r>
        <w:rPr>
          <w:b/>
          <w:bCs/>
        </w:rPr>
        <w:t xml:space="preserve">Beziehungsarbeit als Unterrichtsqualität anerkennen: </w:t>
      </w:r>
      <w:r>
        <w:t>Nicht als „weiches Beiwerk“, sondern als empirisch belegter Hauptfaktor für Lernerfolg.</w:t>
      </w:r>
    </w:p>
    <w:p w14:paraId="6CF02566" w14:textId="77777777" w:rsidR="00E950FB" w:rsidRDefault="00000000" w:rsidP="00EB3CBD">
      <w:pPr>
        <w:pStyle w:val="Heading2"/>
        <w:spacing w:line="312" w:lineRule="auto"/>
      </w:pPr>
      <w:r>
        <w:t>6.2  Was Lehrkräfte brauchen</w:t>
      </w:r>
    </w:p>
    <w:p w14:paraId="53D7A4E7" w14:textId="77777777" w:rsidR="00E950FB" w:rsidRDefault="00000000" w:rsidP="00EB3CBD">
      <w:pPr>
        <w:pStyle w:val="ListParagraph"/>
        <w:numPr>
          <w:ilvl w:val="0"/>
          <w:numId w:val="2"/>
        </w:numPr>
        <w:spacing w:before="30" w:after="30" w:line="312" w:lineRule="auto"/>
      </w:pPr>
      <w:r>
        <w:rPr>
          <w:b/>
          <w:bCs/>
        </w:rPr>
        <w:t xml:space="preserve">Fortbildung in Context Engineering: </w:t>
      </w:r>
      <w:r>
        <w:t>Nicht nur „wie bediene ich ChatGPT“, sondern systematischer Umgang mit KI als Werkzeug für Unterrichtsvorbereitung, Differenzierung und Feedback.</w:t>
      </w:r>
    </w:p>
    <w:p w14:paraId="12DE0C82" w14:textId="77777777" w:rsidR="00E950FB" w:rsidRDefault="00000000" w:rsidP="00EB3CBD">
      <w:pPr>
        <w:pStyle w:val="ListParagraph"/>
        <w:numPr>
          <w:ilvl w:val="0"/>
          <w:numId w:val="2"/>
        </w:numPr>
        <w:spacing w:before="30" w:after="30" w:line="312" w:lineRule="auto"/>
      </w:pPr>
      <w:r>
        <w:rPr>
          <w:b/>
          <w:bCs/>
        </w:rPr>
        <w:t xml:space="preserve">Ethische KI-Kompetenz: </w:t>
      </w:r>
      <w:r>
        <w:t>Wissen über Bias, Halluzinationen, Datenschutz und die Grenzen von KI-Systemen – um Schüler kompetent begleiten zu können.</w:t>
      </w:r>
    </w:p>
    <w:p w14:paraId="6B92A1DA" w14:textId="77777777" w:rsidR="00E950FB" w:rsidRDefault="00000000" w:rsidP="00EB3CBD">
      <w:pPr>
        <w:pStyle w:val="ListParagraph"/>
        <w:numPr>
          <w:ilvl w:val="0"/>
          <w:numId w:val="2"/>
        </w:numPr>
        <w:spacing w:before="30" w:after="30" w:line="312" w:lineRule="auto"/>
      </w:pPr>
      <w:r>
        <w:rPr>
          <w:b/>
          <w:bCs/>
        </w:rPr>
        <w:t xml:space="preserve">Coaching-Kompetenzen: </w:t>
      </w:r>
      <w:r>
        <w:t>Die Verlagerung vom Wissensvermittler zum Lernbegleiter erfordert neue Gesprächsführungskompetenzen (Fragetechniken, Sokratische Methode, formatives Feedback).</w:t>
      </w:r>
    </w:p>
    <w:p w14:paraId="73582519" w14:textId="77777777" w:rsidR="00E950FB" w:rsidRDefault="00000000" w:rsidP="00EB3CBD">
      <w:pPr>
        <w:pStyle w:val="ListParagraph"/>
        <w:numPr>
          <w:ilvl w:val="0"/>
          <w:numId w:val="2"/>
        </w:numPr>
        <w:spacing w:before="30" w:after="30" w:line="312" w:lineRule="auto"/>
      </w:pPr>
      <w:r>
        <w:rPr>
          <w:b/>
          <w:bCs/>
        </w:rPr>
        <w:t xml:space="preserve">Entlastung von Routineaufgaben: </w:t>
      </w:r>
      <w:r>
        <w:t>KI kann bei Aufgabenerstellung, Differenzierung, Korrekturhilfe und Verwaltung entlasten – damit mehr Zeit für das bleibt, was nur Menschen können.</w:t>
      </w:r>
    </w:p>
    <w:p w14:paraId="1794287F" w14:textId="77777777" w:rsidR="00E950FB" w:rsidRDefault="00E950FB" w:rsidP="00EB3CBD">
      <w:pPr>
        <w:spacing w:before="40" w:after="100" w:line="312" w:lineRule="auto"/>
      </w:pPr>
    </w:p>
    <w:p w14:paraId="67B3366E" w14:textId="31A53D91" w:rsidR="00E950FB" w:rsidRDefault="00000000" w:rsidP="00EB3CBD">
      <w:pPr>
        <w:pStyle w:val="Heading1"/>
        <w:spacing w:line="312" w:lineRule="auto"/>
      </w:pPr>
      <w:r>
        <w:t>7  Fazit: Lernen ist Beziehung</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E950FB" w14:paraId="401A14AD" w14:textId="77777777" w:rsidTr="00EB3CBD">
        <w:tblPrEx>
          <w:tblCellMar>
            <w:top w:w="0" w:type="dxa"/>
            <w:bottom w:w="0" w:type="dxa"/>
          </w:tblCellMar>
        </w:tblPrEx>
        <w:tc>
          <w:tcPr>
            <w:tcW w:w="10475" w:type="dxa"/>
            <w:tcBorders>
              <w:top w:val="single" w:sz="1" w:space="0" w:color="BDC3C7"/>
              <w:left w:val="single" w:sz="12" w:space="0" w:color="2980B9"/>
              <w:bottom w:val="single" w:sz="1" w:space="0" w:color="BDC3C7"/>
              <w:right w:val="single" w:sz="1" w:space="0" w:color="BDC3C7"/>
            </w:tcBorders>
            <w:shd w:val="clear" w:color="auto" w:fill="E8F8F5"/>
            <w:tcMar>
              <w:top w:w="140" w:type="dxa"/>
              <w:left w:w="200" w:type="dxa"/>
              <w:bottom w:w="140" w:type="dxa"/>
              <w:right w:w="200" w:type="dxa"/>
            </w:tcMar>
          </w:tcPr>
          <w:p w14:paraId="613C09D4" w14:textId="50048A24" w:rsidR="00E950FB" w:rsidRDefault="00000000" w:rsidP="00EB3CBD">
            <w:pPr>
              <w:spacing w:after="80" w:line="312" w:lineRule="auto"/>
            </w:pPr>
            <w:r>
              <w:rPr>
                <w:b/>
                <w:bCs/>
                <w:color w:val="1A5276"/>
                <w:sz w:val="22"/>
                <w:szCs w:val="22"/>
              </w:rPr>
              <w:t xml:space="preserve">Drei </w:t>
            </w:r>
            <w:r w:rsidR="00EB3CBD">
              <w:rPr>
                <w:b/>
                <w:bCs/>
                <w:color w:val="1A5276"/>
                <w:sz w:val="22"/>
                <w:szCs w:val="22"/>
              </w:rPr>
              <w:t>Merksätze:</w:t>
            </w:r>
          </w:p>
          <w:p w14:paraId="7CB5EDAF" w14:textId="4931EC26" w:rsidR="00E950FB" w:rsidRDefault="00000000" w:rsidP="00EB3CBD">
            <w:pPr>
              <w:spacing w:before="40" w:after="100" w:line="312" w:lineRule="auto"/>
            </w:pPr>
            <w:r>
              <w:rPr>
                <w:b/>
                <w:bCs/>
              </w:rPr>
              <w:t>1. Die Forschung ist eindeutig: Positive Lehrer-Schüler-Beziehungen gehören zu den stärksten Einflussfaktoren auf Lernerfolg – stärker als fast alle didaktischen Methoden, Materialien oder Technologien.</w:t>
            </w:r>
            <w:r w:rsidR="00EB3CBD">
              <w:rPr>
                <w:b/>
                <w:bCs/>
              </w:rPr>
              <w:br/>
            </w:r>
          </w:p>
          <w:p w14:paraId="56352A8B" w14:textId="16743354" w:rsidR="00E950FB" w:rsidRDefault="00000000" w:rsidP="00EB3CBD">
            <w:pPr>
              <w:spacing w:before="40" w:after="100" w:line="312" w:lineRule="auto"/>
            </w:pPr>
            <w:r>
              <w:rPr>
                <w:b/>
                <w:bCs/>
              </w:rPr>
              <w:t>2. KI verändert nicht das Wesen des Lehrens, sondern verschärft die Frage: Was kann nur ein Mensch? Die Antwort: Vertrauen aufbauen, emotional unterstützen, ethisch orientieren, individuell begleiten.</w:t>
            </w:r>
            <w:r w:rsidR="00EB3CBD">
              <w:rPr>
                <w:b/>
                <w:bCs/>
              </w:rPr>
              <w:br/>
            </w:r>
          </w:p>
          <w:p w14:paraId="50AE0C48" w14:textId="77777777" w:rsidR="00E950FB" w:rsidRDefault="00000000" w:rsidP="00EB3CBD">
            <w:pPr>
              <w:spacing w:before="40" w:after="100" w:line="312" w:lineRule="auto"/>
            </w:pPr>
            <w:r>
              <w:rPr>
                <w:b/>
                <w:bCs/>
              </w:rPr>
              <w:t>3. Der Lehrerberuf wird durch KI nicht überflüssig – er wird essenzieller. Aber er verändert sich: weg vom Wissensvermittler, hin zum Lernbegleiter, Coach und Beziehungsgestalter.</w:t>
            </w:r>
          </w:p>
        </w:tc>
      </w:tr>
    </w:tbl>
    <w:p w14:paraId="4398079D" w14:textId="77777777" w:rsidR="00E950FB" w:rsidRDefault="00000000" w:rsidP="00EB3CBD">
      <w:pPr>
        <w:spacing w:line="312" w:lineRule="auto"/>
      </w:pPr>
      <w:r>
        <w:br w:type="page"/>
      </w:r>
    </w:p>
    <w:p w14:paraId="3A68F8EA" w14:textId="77777777" w:rsidR="00E950FB" w:rsidRDefault="00000000" w:rsidP="00EB3CBD">
      <w:pPr>
        <w:pStyle w:val="Heading1"/>
        <w:spacing w:line="312" w:lineRule="auto"/>
      </w:pPr>
      <w:r>
        <w:lastRenderedPageBreak/>
        <w:t>Literaturverzeichnis</w:t>
      </w:r>
    </w:p>
    <w:p w14:paraId="6821EB8B" w14:textId="77777777" w:rsidR="00E950FB" w:rsidRDefault="00E950FB" w:rsidP="00EB3CBD">
      <w:pPr>
        <w:spacing w:before="40" w:after="100" w:line="312" w:lineRule="auto"/>
      </w:pPr>
    </w:p>
    <w:p w14:paraId="785618B9" w14:textId="77777777" w:rsidR="00E950FB" w:rsidRDefault="00000000" w:rsidP="00EB3CBD">
      <w:pPr>
        <w:spacing w:before="20" w:after="20" w:line="312" w:lineRule="auto"/>
        <w:ind w:left="560" w:hanging="560"/>
      </w:pPr>
      <w:r>
        <w:rPr>
          <w:color w:val="5D6D7E"/>
          <w:sz w:val="18"/>
          <w:szCs w:val="18"/>
        </w:rPr>
        <w:t>Bryk, A. S. &amp; Schneider, B. (2002). Trust in Schools: A Core Resource for Improvement. Russell Sage Foundation.</w:t>
      </w:r>
    </w:p>
    <w:p w14:paraId="19FF5A42" w14:textId="77777777" w:rsidR="00E950FB" w:rsidRDefault="00000000" w:rsidP="00EB3CBD">
      <w:pPr>
        <w:spacing w:before="20" w:after="20" w:line="312" w:lineRule="auto"/>
        <w:ind w:left="560" w:hanging="560"/>
      </w:pPr>
      <w:r>
        <w:rPr>
          <w:color w:val="5D6D7E"/>
          <w:sz w:val="18"/>
          <w:szCs w:val="18"/>
        </w:rPr>
        <w:t>Cukurova, M. et al. (2025). Teachers and AI: The Role of Teachers in an AI-Powered Education System. UNESCO Teacher Task Force Policy Paper.</w:t>
      </w:r>
    </w:p>
    <w:p w14:paraId="743662C6" w14:textId="77777777" w:rsidR="00E950FB" w:rsidRDefault="00000000" w:rsidP="00EB3CBD">
      <w:pPr>
        <w:spacing w:before="20" w:after="20" w:line="312" w:lineRule="auto"/>
        <w:ind w:left="560" w:hanging="560"/>
      </w:pPr>
      <w:r>
        <w:rPr>
          <w:color w:val="5D6D7E"/>
          <w:sz w:val="18"/>
          <w:szCs w:val="18"/>
        </w:rPr>
        <w:t>De Duro, E. et al. (2025). Mimicking therapeutic conversations: Limitations of LLMs in replicating emotional complexity. Frontiers in Education, 10.</w:t>
      </w:r>
    </w:p>
    <w:p w14:paraId="65784D19" w14:textId="77777777" w:rsidR="00E950FB" w:rsidRDefault="00000000" w:rsidP="00EB3CBD">
      <w:pPr>
        <w:spacing w:before="20" w:after="20" w:line="312" w:lineRule="auto"/>
        <w:ind w:left="560" w:hanging="560"/>
      </w:pPr>
      <w:r>
        <w:rPr>
          <w:color w:val="5D6D7E"/>
          <w:sz w:val="18"/>
          <w:szCs w:val="18"/>
        </w:rPr>
        <w:t>EdTech Hub (2025). AI Tutors and Teaching: How Might the Role of the Teacher Change in an Age of AI? Konferenzbericht, Mai 2025.</w:t>
      </w:r>
    </w:p>
    <w:p w14:paraId="5332ABFF" w14:textId="77777777" w:rsidR="00E950FB" w:rsidRDefault="00000000" w:rsidP="00EB3CBD">
      <w:pPr>
        <w:spacing w:before="20" w:after="20" w:line="312" w:lineRule="auto"/>
        <w:ind w:left="560" w:hanging="560"/>
      </w:pPr>
      <w:r>
        <w:rPr>
          <w:color w:val="5D6D7E"/>
          <w:sz w:val="18"/>
          <w:szCs w:val="18"/>
        </w:rPr>
        <w:t>Feldman-Maggor, Y. et al. (2024). Transforming Teachers’ Roles and Agencies in the Era of Generative AI. arXiv:2410.03018v1.</w:t>
      </w:r>
    </w:p>
    <w:p w14:paraId="59FD2F66" w14:textId="77777777" w:rsidR="00E950FB" w:rsidRDefault="00000000" w:rsidP="00EB3CBD">
      <w:pPr>
        <w:spacing w:before="20" w:after="20" w:line="312" w:lineRule="auto"/>
        <w:ind w:left="560" w:hanging="560"/>
      </w:pPr>
      <w:r>
        <w:rPr>
          <w:color w:val="5D6D7E"/>
          <w:sz w:val="18"/>
          <w:szCs w:val="18"/>
        </w:rPr>
        <w:t>Fisher, D. &amp; Frey, N. (2024). Let’s think about teacher-student relationships. Phi Delta Kappan, Dezember 2024.</w:t>
      </w:r>
    </w:p>
    <w:p w14:paraId="61104D1F" w14:textId="77777777" w:rsidR="00E950FB" w:rsidRDefault="00000000" w:rsidP="00EB3CBD">
      <w:pPr>
        <w:spacing w:before="20" w:after="20" w:line="312" w:lineRule="auto"/>
        <w:ind w:left="560" w:hanging="560"/>
      </w:pPr>
      <w:r>
        <w:rPr>
          <w:color w:val="5D6D7E"/>
          <w:sz w:val="18"/>
          <w:szCs w:val="18"/>
        </w:rPr>
        <w:t>Frontiers in Education (2023). Do we still need teachers? Navigating the paradigm shift of the teacher’s role in the AI era. Systematische Literaturanalyse, 102 Studien.</w:t>
      </w:r>
    </w:p>
    <w:p w14:paraId="496B7BC6" w14:textId="77777777" w:rsidR="00E950FB" w:rsidRDefault="00000000" w:rsidP="00EB3CBD">
      <w:pPr>
        <w:spacing w:before="20" w:after="20" w:line="312" w:lineRule="auto"/>
        <w:ind w:left="560" w:hanging="560"/>
      </w:pPr>
      <w:r>
        <w:rPr>
          <w:color w:val="5D6D7E"/>
          <w:sz w:val="18"/>
          <w:szCs w:val="18"/>
        </w:rPr>
        <w:t>Frontiers in Psychology (2025). Exploring the effects of AI on student and academic well-being in higher education: A mini-review. Vol. 16.</w:t>
      </w:r>
    </w:p>
    <w:p w14:paraId="3B7828C8" w14:textId="77777777" w:rsidR="00E950FB" w:rsidRDefault="00000000" w:rsidP="00EB3CBD">
      <w:pPr>
        <w:spacing w:before="20" w:after="20" w:line="312" w:lineRule="auto"/>
        <w:ind w:left="560" w:hanging="560"/>
      </w:pPr>
      <w:r>
        <w:rPr>
          <w:color w:val="5D6D7E"/>
          <w:sz w:val="18"/>
          <w:szCs w:val="18"/>
        </w:rPr>
        <w:t>Hattie, J. (2009). Visible Learning: A Synthesis of Over 800 Meta-Analyses Relating to Achievement. Routledge.</w:t>
      </w:r>
    </w:p>
    <w:p w14:paraId="0BC14FEF" w14:textId="77777777" w:rsidR="00E950FB" w:rsidRDefault="00000000" w:rsidP="00EB3CBD">
      <w:pPr>
        <w:spacing w:before="20" w:after="20" w:line="312" w:lineRule="auto"/>
        <w:ind w:left="560" w:hanging="560"/>
      </w:pPr>
      <w:r>
        <w:rPr>
          <w:color w:val="5D6D7E"/>
          <w:sz w:val="18"/>
          <w:szCs w:val="18"/>
        </w:rPr>
        <w:t>Hattie, J. (2012). Visible Learning for Teachers: Maximizing Impact on Learning. Routledge.</w:t>
      </w:r>
    </w:p>
    <w:p w14:paraId="12243E0C" w14:textId="77777777" w:rsidR="00E950FB" w:rsidRDefault="00000000" w:rsidP="00EB3CBD">
      <w:pPr>
        <w:spacing w:before="20" w:after="20" w:line="312" w:lineRule="auto"/>
        <w:ind w:left="560" w:hanging="560"/>
      </w:pPr>
      <w:r>
        <w:rPr>
          <w:color w:val="5D6D7E"/>
          <w:sz w:val="18"/>
          <w:szCs w:val="18"/>
        </w:rPr>
        <w:t>Kennedy, K. J. &amp; Castek, J. M. (2025). Empowering ELA Teachers: Recommendations for Teacher Education in the AI Era. CITE Journal, 25(1).</w:t>
      </w:r>
    </w:p>
    <w:p w14:paraId="136D0B02" w14:textId="77777777" w:rsidR="00E950FB" w:rsidRDefault="00000000" w:rsidP="00EB3CBD">
      <w:pPr>
        <w:spacing w:before="20" w:after="20" w:line="312" w:lineRule="auto"/>
        <w:ind w:left="560" w:hanging="560"/>
      </w:pPr>
      <w:r>
        <w:rPr>
          <w:color w:val="5D6D7E"/>
          <w:sz w:val="18"/>
          <w:szCs w:val="18"/>
        </w:rPr>
        <w:t>Kraft, M. A., Blazar, D. &amp; Hogan, D. (2018). The effect of teacher coaching on instruction and achievement: A meta-analysis. Review of Educational Research, 88(4), 547–588.</w:t>
      </w:r>
    </w:p>
    <w:p w14:paraId="594C0B7D" w14:textId="77777777" w:rsidR="00E950FB" w:rsidRDefault="00000000" w:rsidP="00EB3CBD">
      <w:pPr>
        <w:spacing w:before="20" w:after="20" w:line="312" w:lineRule="auto"/>
        <w:ind w:left="560" w:hanging="560"/>
      </w:pPr>
      <w:r>
        <w:rPr>
          <w:color w:val="5D6D7E"/>
          <w:sz w:val="18"/>
          <w:szCs w:val="18"/>
        </w:rPr>
        <w:t>Pianta, R. C. (1999). Enhancing Relationships Between Children and Teachers. American Psychological Association.</w:t>
      </w:r>
    </w:p>
    <w:p w14:paraId="5561AA5A" w14:textId="77777777" w:rsidR="00E950FB" w:rsidRDefault="00000000" w:rsidP="00EB3CBD">
      <w:pPr>
        <w:spacing w:before="20" w:after="20" w:line="312" w:lineRule="auto"/>
        <w:ind w:left="560" w:hanging="560"/>
      </w:pPr>
      <w:r>
        <w:rPr>
          <w:color w:val="5D6D7E"/>
          <w:sz w:val="18"/>
          <w:szCs w:val="18"/>
        </w:rPr>
        <w:t>Roorda, D. L., Koomen, H. M., Spilt, J. L. &amp; Oort, F. J. (2011). The influence of affective teacher–student relationships on engagement and achievement. Review of Educational Research, 81(4), 493–529.</w:t>
      </w:r>
    </w:p>
    <w:p w14:paraId="1ED126C6" w14:textId="77777777" w:rsidR="00E950FB" w:rsidRDefault="00000000" w:rsidP="00EB3CBD">
      <w:pPr>
        <w:spacing w:before="20" w:after="20" w:line="312" w:lineRule="auto"/>
        <w:ind w:left="560" w:hanging="560"/>
      </w:pPr>
      <w:r>
        <w:rPr>
          <w:color w:val="5D6D7E"/>
          <w:sz w:val="18"/>
          <w:szCs w:val="18"/>
        </w:rPr>
        <w:t>ScienceDirect (2025). The impact of teacher emotional support on students’ engagement in AI-mediated English learning environments. SEM-Studie, N=603.</w:t>
      </w:r>
    </w:p>
    <w:p w14:paraId="58C938DE" w14:textId="77777777" w:rsidR="00E950FB" w:rsidRDefault="00000000" w:rsidP="00EB3CBD">
      <w:pPr>
        <w:spacing w:before="20" w:after="20" w:line="312" w:lineRule="auto"/>
        <w:ind w:left="560" w:hanging="560"/>
      </w:pPr>
      <w:r>
        <w:rPr>
          <w:color w:val="5D6D7E"/>
          <w:sz w:val="18"/>
          <w:szCs w:val="18"/>
        </w:rPr>
        <w:t>Times Higher Education (2025). Only a human will do: When to eschew AI in teaching and research. April 2025.</w:t>
      </w:r>
    </w:p>
    <w:p w14:paraId="3A978CAB" w14:textId="77777777" w:rsidR="00E950FB" w:rsidRDefault="00000000" w:rsidP="00EB3CBD">
      <w:pPr>
        <w:spacing w:before="20" w:after="20" w:line="312" w:lineRule="auto"/>
        <w:ind w:left="560" w:hanging="560"/>
      </w:pPr>
      <w:r>
        <w:rPr>
          <w:color w:val="5D6D7E"/>
          <w:sz w:val="18"/>
          <w:szCs w:val="18"/>
        </w:rPr>
        <w:t>Trucano, M. (2024). AI and the next digital divide in education. Brookings Institution.</w:t>
      </w:r>
    </w:p>
    <w:sectPr w:rsidR="00E950FB" w:rsidSect="00F922EA">
      <w:headerReference w:type="default" r:id="rId9"/>
      <w:footerReference w:type="defaul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1DB3E" w14:textId="77777777" w:rsidR="00E92256" w:rsidRDefault="00E92256">
      <w:r>
        <w:separator/>
      </w:r>
    </w:p>
  </w:endnote>
  <w:endnote w:type="continuationSeparator" w:id="0">
    <w:p w14:paraId="47ED8E68" w14:textId="77777777" w:rsidR="00E92256" w:rsidRDefault="00E92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3AF6" w14:textId="77777777" w:rsidR="00E950FB" w:rsidRDefault="00000000">
    <w:pPr>
      <w:pBdr>
        <w:top w:val="single" w:sz="1" w:space="4" w:color="CCCCCC"/>
      </w:pBd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F922E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7BC7D" w14:textId="77777777" w:rsidR="00E92256" w:rsidRDefault="00E92256">
      <w:r>
        <w:separator/>
      </w:r>
    </w:p>
  </w:footnote>
  <w:footnote w:type="continuationSeparator" w:id="0">
    <w:p w14:paraId="2C67EDC6" w14:textId="77777777" w:rsidR="00E92256" w:rsidRDefault="00E92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1B17" w14:textId="77777777" w:rsidR="00E950FB" w:rsidRDefault="00000000">
    <w:pPr>
      <w:jc w:val="right"/>
    </w:pPr>
    <w:r>
      <w:rPr>
        <w:i/>
        <w:iCs/>
        <w:color w:val="AAAAAA"/>
        <w:sz w:val="15"/>
        <w:szCs w:val="15"/>
      </w:rPr>
      <w:t>Lernen ist Beziehung – Der Wandel der Lehrerrolle im KI-Zeitalter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071B"/>
    <w:multiLevelType w:val="hybridMultilevel"/>
    <w:tmpl w:val="A12A304C"/>
    <w:lvl w:ilvl="0" w:tplc="3C7023C0">
      <w:start w:val="1"/>
      <w:numFmt w:val="bullet"/>
      <w:lvlText w:val="•"/>
      <w:lvlJc w:val="left"/>
      <w:pPr>
        <w:ind w:left="720" w:hanging="360"/>
      </w:pPr>
    </w:lvl>
    <w:lvl w:ilvl="1" w:tplc="E0CCA85E">
      <w:numFmt w:val="decimal"/>
      <w:lvlText w:val=""/>
      <w:lvlJc w:val="left"/>
    </w:lvl>
    <w:lvl w:ilvl="2" w:tplc="8FD091BA">
      <w:numFmt w:val="decimal"/>
      <w:lvlText w:val=""/>
      <w:lvlJc w:val="left"/>
    </w:lvl>
    <w:lvl w:ilvl="3" w:tplc="35D0CA6C">
      <w:numFmt w:val="decimal"/>
      <w:lvlText w:val=""/>
      <w:lvlJc w:val="left"/>
    </w:lvl>
    <w:lvl w:ilvl="4" w:tplc="14020DA0">
      <w:numFmt w:val="decimal"/>
      <w:lvlText w:val=""/>
      <w:lvlJc w:val="left"/>
    </w:lvl>
    <w:lvl w:ilvl="5" w:tplc="2A9AB60E">
      <w:numFmt w:val="decimal"/>
      <w:lvlText w:val=""/>
      <w:lvlJc w:val="left"/>
    </w:lvl>
    <w:lvl w:ilvl="6" w:tplc="BCE40E36">
      <w:numFmt w:val="decimal"/>
      <w:lvlText w:val=""/>
      <w:lvlJc w:val="left"/>
    </w:lvl>
    <w:lvl w:ilvl="7" w:tplc="691AA234">
      <w:numFmt w:val="decimal"/>
      <w:lvlText w:val=""/>
      <w:lvlJc w:val="left"/>
    </w:lvl>
    <w:lvl w:ilvl="8" w:tplc="3772A3D8">
      <w:numFmt w:val="decimal"/>
      <w:lvlText w:val=""/>
      <w:lvlJc w:val="left"/>
    </w:lvl>
  </w:abstractNum>
  <w:abstractNum w:abstractNumId="1" w15:restartNumberingAfterBreak="0">
    <w:nsid w:val="465852E1"/>
    <w:multiLevelType w:val="hybridMultilevel"/>
    <w:tmpl w:val="82404B8E"/>
    <w:lvl w:ilvl="0" w:tplc="E2AA4240">
      <w:start w:val="1"/>
      <w:numFmt w:val="bullet"/>
      <w:lvlText w:val="●"/>
      <w:lvlJc w:val="left"/>
      <w:pPr>
        <w:ind w:left="720" w:hanging="360"/>
      </w:pPr>
    </w:lvl>
    <w:lvl w:ilvl="1" w:tplc="24AAE48C">
      <w:start w:val="1"/>
      <w:numFmt w:val="bullet"/>
      <w:lvlText w:val="○"/>
      <w:lvlJc w:val="left"/>
      <w:pPr>
        <w:ind w:left="1440" w:hanging="360"/>
      </w:pPr>
    </w:lvl>
    <w:lvl w:ilvl="2" w:tplc="7EE46E50">
      <w:start w:val="1"/>
      <w:numFmt w:val="bullet"/>
      <w:lvlText w:val="■"/>
      <w:lvlJc w:val="left"/>
      <w:pPr>
        <w:ind w:left="2160" w:hanging="360"/>
      </w:pPr>
    </w:lvl>
    <w:lvl w:ilvl="3" w:tplc="8142673A">
      <w:start w:val="1"/>
      <w:numFmt w:val="bullet"/>
      <w:lvlText w:val="●"/>
      <w:lvlJc w:val="left"/>
      <w:pPr>
        <w:ind w:left="2880" w:hanging="360"/>
      </w:pPr>
    </w:lvl>
    <w:lvl w:ilvl="4" w:tplc="8368A382">
      <w:start w:val="1"/>
      <w:numFmt w:val="bullet"/>
      <w:lvlText w:val="○"/>
      <w:lvlJc w:val="left"/>
      <w:pPr>
        <w:ind w:left="3600" w:hanging="360"/>
      </w:pPr>
    </w:lvl>
    <w:lvl w:ilvl="5" w:tplc="601EF3BA">
      <w:start w:val="1"/>
      <w:numFmt w:val="bullet"/>
      <w:lvlText w:val="■"/>
      <w:lvlJc w:val="left"/>
      <w:pPr>
        <w:ind w:left="4320" w:hanging="360"/>
      </w:pPr>
    </w:lvl>
    <w:lvl w:ilvl="6" w:tplc="B67A07C6">
      <w:start w:val="1"/>
      <w:numFmt w:val="bullet"/>
      <w:lvlText w:val="●"/>
      <w:lvlJc w:val="left"/>
      <w:pPr>
        <w:ind w:left="5040" w:hanging="360"/>
      </w:pPr>
    </w:lvl>
    <w:lvl w:ilvl="7" w:tplc="BA4209F8">
      <w:start w:val="1"/>
      <w:numFmt w:val="bullet"/>
      <w:lvlText w:val="●"/>
      <w:lvlJc w:val="left"/>
      <w:pPr>
        <w:ind w:left="5760" w:hanging="360"/>
      </w:pPr>
    </w:lvl>
    <w:lvl w:ilvl="8" w:tplc="EB28E270">
      <w:start w:val="1"/>
      <w:numFmt w:val="bullet"/>
      <w:lvlText w:val="●"/>
      <w:lvlJc w:val="left"/>
      <w:pPr>
        <w:ind w:left="6480" w:hanging="360"/>
      </w:pPr>
    </w:lvl>
  </w:abstractNum>
  <w:abstractNum w:abstractNumId="2" w15:restartNumberingAfterBreak="0">
    <w:nsid w:val="611F2C6F"/>
    <w:multiLevelType w:val="hybridMultilevel"/>
    <w:tmpl w:val="9AD8CBF2"/>
    <w:lvl w:ilvl="0" w:tplc="98767D0A">
      <w:start w:val="1"/>
      <w:numFmt w:val="decimal"/>
      <w:lvlText w:val="%1."/>
      <w:lvlJc w:val="left"/>
      <w:pPr>
        <w:ind w:left="720" w:hanging="360"/>
      </w:pPr>
    </w:lvl>
    <w:lvl w:ilvl="1" w:tplc="55BA51AE">
      <w:numFmt w:val="decimal"/>
      <w:lvlText w:val=""/>
      <w:lvlJc w:val="left"/>
    </w:lvl>
    <w:lvl w:ilvl="2" w:tplc="F27E62E2">
      <w:numFmt w:val="decimal"/>
      <w:lvlText w:val=""/>
      <w:lvlJc w:val="left"/>
    </w:lvl>
    <w:lvl w:ilvl="3" w:tplc="14E6178A">
      <w:numFmt w:val="decimal"/>
      <w:lvlText w:val=""/>
      <w:lvlJc w:val="left"/>
    </w:lvl>
    <w:lvl w:ilvl="4" w:tplc="699869F0">
      <w:numFmt w:val="decimal"/>
      <w:lvlText w:val=""/>
      <w:lvlJc w:val="left"/>
    </w:lvl>
    <w:lvl w:ilvl="5" w:tplc="BE14A400">
      <w:numFmt w:val="decimal"/>
      <w:lvlText w:val=""/>
      <w:lvlJc w:val="left"/>
    </w:lvl>
    <w:lvl w:ilvl="6" w:tplc="264A3A58">
      <w:numFmt w:val="decimal"/>
      <w:lvlText w:val=""/>
      <w:lvlJc w:val="left"/>
    </w:lvl>
    <w:lvl w:ilvl="7" w:tplc="97BA210A">
      <w:numFmt w:val="decimal"/>
      <w:lvlText w:val=""/>
      <w:lvlJc w:val="left"/>
    </w:lvl>
    <w:lvl w:ilvl="8" w:tplc="EF786366">
      <w:numFmt w:val="decimal"/>
      <w:lvlText w:val=""/>
      <w:lvlJc w:val="left"/>
    </w:lvl>
  </w:abstractNum>
  <w:num w:numId="1" w16cid:durableId="423260170">
    <w:abstractNumId w:val="1"/>
    <w:lvlOverride w:ilvl="0">
      <w:startOverride w:val="1"/>
    </w:lvlOverride>
  </w:num>
  <w:num w:numId="2" w16cid:durableId="1495759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0FB"/>
    <w:rsid w:val="009E04BB"/>
    <w:rsid w:val="00E92256"/>
    <w:rsid w:val="00E950FB"/>
    <w:rsid w:val="00EB3CBD"/>
    <w:rsid w:val="00F922E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292A9DB"/>
  <w15:docId w15:val="{0EFC3D86-9D66-C24B-90E8-2E6098136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1"/>
        <w:szCs w:val="21"/>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200"/>
      <w:outlineLvl w:val="0"/>
    </w:pPr>
    <w:rPr>
      <w:b/>
      <w:bCs/>
      <w:color w:val="1A5276"/>
      <w:sz w:val="30"/>
      <w:szCs w:val="30"/>
    </w:rPr>
  </w:style>
  <w:style w:type="paragraph" w:styleId="Heading2">
    <w:name w:val="heading 2"/>
    <w:uiPriority w:val="9"/>
    <w:unhideWhenUsed/>
    <w:qFormat/>
    <w:pPr>
      <w:spacing w:before="260" w:after="140"/>
      <w:outlineLvl w:val="1"/>
    </w:pPr>
    <w:rPr>
      <w:b/>
      <w:bCs/>
      <w:color w:val="2980B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1403</Words>
  <Characters>9584</Characters>
  <Application>Microsoft Office Word</Application>
  <DocSecurity>0</DocSecurity>
  <Lines>208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2</cp:revision>
  <dcterms:created xsi:type="dcterms:W3CDTF">2026-03-08T16:05:00Z</dcterms:created>
  <dcterms:modified xsi:type="dcterms:W3CDTF">2026-03-08T16:32:00Z</dcterms:modified>
</cp:coreProperties>
</file>