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6A451" w14:textId="77777777" w:rsidR="00C71243" w:rsidRDefault="00000000">
      <w:pPr>
        <w:spacing w:before="1200" w:after="200"/>
      </w:pPr>
      <w:r>
        <w:rPr>
          <w:b/>
          <w:bCs/>
          <w:color w:val="1B3A5C"/>
          <w:sz w:val="44"/>
          <w:szCs w:val="44"/>
        </w:rPr>
        <w:t>Internationale Rahmung</w:t>
      </w:r>
    </w:p>
    <w:p w14:paraId="21EA7026" w14:textId="77777777" w:rsidR="00C71243" w:rsidRDefault="00000000">
      <w:pPr>
        <w:spacing w:after="100"/>
      </w:pPr>
      <w:r>
        <w:rPr>
          <w:color w:val="2E75B6"/>
          <w:sz w:val="32"/>
          <w:szCs w:val="32"/>
        </w:rPr>
        <w:t>AI Literacy in der Schule: Sechs Ansätze im Vergleich</w:t>
      </w:r>
    </w:p>
    <w:p w14:paraId="39DD288A" w14:textId="77777777" w:rsidR="00C71243" w:rsidRDefault="00C71243">
      <w:pPr>
        <w:pBdr>
          <w:bottom w:val="single" w:sz="6" w:space="1" w:color="2E75B6"/>
        </w:pBdr>
        <w:spacing w:after="400"/>
      </w:pPr>
    </w:p>
    <w:p w14:paraId="7468FB97" w14:textId="77777777" w:rsidR="00C71243" w:rsidRDefault="00000000">
      <w:pPr>
        <w:spacing w:after="100"/>
      </w:pPr>
      <w:r>
        <w:t>Dieses Dokument analysiert die sechs wichtigsten internationalen Referenzrahmen für AI Literacy in der schulischen Bildung. Es destilliert aus jedem Ansatz die pädagogische Kernidee, identifiziert Stärken und offene Punkte und entwickelt daraus eine Synthese: Was sind die gemeinsamen Grundideen? Und wie sollte eine Best-Practice-Implementierung im Jahr 2026 aussehen?</w:t>
      </w:r>
    </w:p>
    <w:p w14:paraId="7A88B84D" w14:textId="77777777" w:rsidR="00C71243" w:rsidRDefault="00000000">
      <w:r>
        <w:br w:type="page"/>
      </w:r>
    </w:p>
    <w:p w14:paraId="6A136A1D" w14:textId="77777777" w:rsidR="00C71243" w:rsidRDefault="00000000">
      <w:pPr>
        <w:pStyle w:val="Heading1"/>
      </w:pPr>
      <w:r>
        <w:lastRenderedPageBreak/>
        <w:t>Teil 1: Vergleichstabelle</w:t>
      </w:r>
    </w:p>
    <w:p w14:paraId="05DADC64" w14:textId="77777777" w:rsidR="00C71243" w:rsidRDefault="00000000">
      <w:pPr>
        <w:spacing w:after="100"/>
      </w:pPr>
      <w:r>
        <w:t>Die Tabelle zeigt die sechs Ansätze in sieben Dimensionen. Lesrichtung: von links (Struktur) über die pädagogische Kernidee bis rechts (offene Fragen).</w:t>
      </w:r>
    </w:p>
    <w:p w14:paraId="3845937D" w14:textId="77777777" w:rsidR="00C71243" w:rsidRDefault="00C71243">
      <w:pPr>
        <w:spacing w:after="12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6"/>
        <w:gridCol w:w="2280"/>
        <w:gridCol w:w="2534"/>
        <w:gridCol w:w="1597"/>
        <w:gridCol w:w="1962"/>
        <w:gridCol w:w="1837"/>
        <w:gridCol w:w="1864"/>
      </w:tblGrid>
      <w:tr w:rsidR="00C71243" w14:paraId="199DED7F" w14:textId="77777777">
        <w:tc>
          <w:tcPr>
            <w:tcW w:w="1800" w:type="dxa"/>
            <w:tcBorders>
              <w:top w:val="single" w:sz="1" w:space="0" w:color="E0E0E0"/>
              <w:left w:val="single" w:sz="1" w:space="0" w:color="E0E0E0"/>
              <w:bottom w:val="single" w:sz="1" w:space="0" w:color="E0E0E0"/>
              <w:right w:val="single" w:sz="1" w:space="0" w:color="E0E0E0"/>
            </w:tcBorders>
            <w:shd w:val="clear" w:color="auto" w:fill="1B3A5C"/>
            <w:tcMar>
              <w:top w:w="60" w:type="dxa"/>
              <w:left w:w="100" w:type="dxa"/>
              <w:bottom w:w="60" w:type="dxa"/>
              <w:right w:w="100" w:type="dxa"/>
            </w:tcMar>
            <w:vAlign w:val="center"/>
          </w:tcPr>
          <w:p w14:paraId="6037EDDC" w14:textId="77777777" w:rsidR="00C71243" w:rsidRDefault="00000000">
            <w:pPr>
              <w:jc w:val="center"/>
            </w:pPr>
            <w:r>
              <w:rPr>
                <w:b/>
                <w:bCs/>
                <w:color w:val="FFFFFF"/>
                <w:sz w:val="16"/>
                <w:szCs w:val="16"/>
              </w:rPr>
              <w:t>Akteur / Framework</w:t>
            </w:r>
          </w:p>
        </w:tc>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60" w:type="dxa"/>
              <w:left w:w="100" w:type="dxa"/>
              <w:bottom w:w="60" w:type="dxa"/>
              <w:right w:w="100" w:type="dxa"/>
            </w:tcMar>
            <w:vAlign w:val="center"/>
          </w:tcPr>
          <w:p w14:paraId="5CAD0DC0" w14:textId="77777777" w:rsidR="00C71243" w:rsidRDefault="00000000">
            <w:pPr>
              <w:jc w:val="center"/>
            </w:pPr>
            <w:r>
              <w:rPr>
                <w:b/>
                <w:bCs/>
                <w:color w:val="FFFFFF"/>
                <w:sz w:val="16"/>
                <w:szCs w:val="16"/>
              </w:rPr>
              <w:t>Kernstruktur</w:t>
            </w:r>
          </w:p>
        </w:tc>
        <w:tc>
          <w:tcPr>
            <w:tcW w:w="2800" w:type="dxa"/>
            <w:tcBorders>
              <w:top w:val="single" w:sz="1" w:space="0" w:color="E0E0E0"/>
              <w:left w:val="single" w:sz="1" w:space="0" w:color="E0E0E0"/>
              <w:bottom w:val="single" w:sz="1" w:space="0" w:color="E0E0E0"/>
              <w:right w:val="single" w:sz="1" w:space="0" w:color="E0E0E0"/>
            </w:tcBorders>
            <w:shd w:val="clear" w:color="auto" w:fill="1B3A5C"/>
            <w:tcMar>
              <w:top w:w="60" w:type="dxa"/>
              <w:left w:w="100" w:type="dxa"/>
              <w:bottom w:w="60" w:type="dxa"/>
              <w:right w:w="100" w:type="dxa"/>
            </w:tcMar>
            <w:vAlign w:val="center"/>
          </w:tcPr>
          <w:p w14:paraId="75F5701D" w14:textId="77777777" w:rsidR="00C71243" w:rsidRDefault="00000000">
            <w:pPr>
              <w:jc w:val="center"/>
            </w:pPr>
            <w:r>
              <w:rPr>
                <w:b/>
                <w:bCs/>
                <w:color w:val="FFFFFF"/>
                <w:sz w:val="16"/>
                <w:szCs w:val="16"/>
              </w:rPr>
              <w:t>Pädagogische Grundidee (1–2 Sätze)</w:t>
            </w:r>
          </w:p>
        </w:tc>
        <w:tc>
          <w:tcPr>
            <w:tcW w:w="1500" w:type="dxa"/>
            <w:tcBorders>
              <w:top w:val="single" w:sz="1" w:space="0" w:color="E0E0E0"/>
              <w:left w:val="single" w:sz="1" w:space="0" w:color="E0E0E0"/>
              <w:bottom w:val="single" w:sz="1" w:space="0" w:color="E0E0E0"/>
              <w:right w:val="single" w:sz="1" w:space="0" w:color="E0E0E0"/>
            </w:tcBorders>
            <w:shd w:val="clear" w:color="auto" w:fill="1B3A5C"/>
            <w:tcMar>
              <w:top w:w="60" w:type="dxa"/>
              <w:left w:w="100" w:type="dxa"/>
              <w:bottom w:w="60" w:type="dxa"/>
              <w:right w:w="100" w:type="dxa"/>
            </w:tcMar>
            <w:vAlign w:val="center"/>
          </w:tcPr>
          <w:p w14:paraId="63DB01EB" w14:textId="77777777" w:rsidR="00C71243" w:rsidRDefault="00000000">
            <w:pPr>
              <w:jc w:val="center"/>
            </w:pPr>
            <w:r>
              <w:rPr>
                <w:b/>
                <w:bCs/>
                <w:color w:val="FFFFFF"/>
                <w:sz w:val="16"/>
                <w:szCs w:val="16"/>
              </w:rPr>
              <w:t>Zielgruppe</w:t>
            </w:r>
          </w:p>
        </w:tc>
        <w:tc>
          <w:tcPr>
            <w:tcW w:w="2000" w:type="dxa"/>
            <w:tcBorders>
              <w:top w:val="single" w:sz="1" w:space="0" w:color="E0E0E0"/>
              <w:left w:val="single" w:sz="1" w:space="0" w:color="E0E0E0"/>
              <w:bottom w:val="single" w:sz="1" w:space="0" w:color="E0E0E0"/>
              <w:right w:val="single" w:sz="1" w:space="0" w:color="E0E0E0"/>
            </w:tcBorders>
            <w:shd w:val="clear" w:color="auto" w:fill="1B3A5C"/>
            <w:tcMar>
              <w:top w:w="60" w:type="dxa"/>
              <w:left w:w="100" w:type="dxa"/>
              <w:bottom w:w="60" w:type="dxa"/>
              <w:right w:w="100" w:type="dxa"/>
            </w:tcMar>
            <w:vAlign w:val="center"/>
          </w:tcPr>
          <w:p w14:paraId="63E57819" w14:textId="77777777" w:rsidR="00C71243" w:rsidRDefault="00000000">
            <w:pPr>
              <w:jc w:val="center"/>
            </w:pPr>
            <w:r>
              <w:rPr>
                <w:b/>
                <w:bCs/>
                <w:color w:val="FFFFFF"/>
                <w:sz w:val="16"/>
                <w:szCs w:val="16"/>
              </w:rPr>
              <w:t>Charakt. Fokus</w:t>
            </w:r>
          </w:p>
        </w:tc>
        <w:tc>
          <w:tcPr>
            <w:tcW w:w="1800" w:type="dxa"/>
            <w:tcBorders>
              <w:top w:val="single" w:sz="1" w:space="0" w:color="E0E0E0"/>
              <w:left w:val="single" w:sz="1" w:space="0" w:color="E0E0E0"/>
              <w:bottom w:val="single" w:sz="1" w:space="0" w:color="E0E0E0"/>
              <w:right w:val="single" w:sz="1" w:space="0" w:color="E0E0E0"/>
            </w:tcBorders>
            <w:shd w:val="clear" w:color="auto" w:fill="1B3A5C"/>
            <w:tcMar>
              <w:top w:w="60" w:type="dxa"/>
              <w:left w:w="100" w:type="dxa"/>
              <w:bottom w:w="60" w:type="dxa"/>
              <w:right w:w="100" w:type="dxa"/>
            </w:tcMar>
            <w:vAlign w:val="center"/>
          </w:tcPr>
          <w:p w14:paraId="753D4E37" w14:textId="77777777" w:rsidR="00C71243" w:rsidRDefault="00000000">
            <w:pPr>
              <w:jc w:val="center"/>
            </w:pPr>
            <w:r>
              <w:rPr>
                <w:b/>
                <w:bCs/>
                <w:color w:val="FFFFFF"/>
                <w:sz w:val="16"/>
                <w:szCs w:val="16"/>
              </w:rPr>
              <w:t>Größte Stärke</w:t>
            </w:r>
          </w:p>
        </w:tc>
        <w:tc>
          <w:tcPr>
            <w:tcW w:w="1380" w:type="dxa"/>
            <w:tcBorders>
              <w:top w:val="single" w:sz="1" w:space="0" w:color="E0E0E0"/>
              <w:left w:val="single" w:sz="1" w:space="0" w:color="E0E0E0"/>
              <w:bottom w:val="single" w:sz="1" w:space="0" w:color="E0E0E0"/>
              <w:right w:val="single" w:sz="1" w:space="0" w:color="E0E0E0"/>
            </w:tcBorders>
            <w:shd w:val="clear" w:color="auto" w:fill="1B3A5C"/>
            <w:tcMar>
              <w:top w:w="60" w:type="dxa"/>
              <w:left w:w="100" w:type="dxa"/>
              <w:bottom w:w="60" w:type="dxa"/>
              <w:right w:w="100" w:type="dxa"/>
            </w:tcMar>
            <w:vAlign w:val="center"/>
          </w:tcPr>
          <w:p w14:paraId="4BEE8CD7" w14:textId="77777777" w:rsidR="00C71243" w:rsidRDefault="00000000">
            <w:pPr>
              <w:jc w:val="center"/>
            </w:pPr>
            <w:r>
              <w:rPr>
                <w:b/>
                <w:bCs/>
                <w:color w:val="FFFFFF"/>
                <w:sz w:val="16"/>
                <w:szCs w:val="16"/>
              </w:rPr>
              <w:t>Was bleibt offen?</w:t>
            </w:r>
          </w:p>
        </w:tc>
      </w:tr>
      <w:tr w:rsidR="00C71243" w14:paraId="6D04542B" w14:textId="77777777">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5AACEF5C" w14:textId="77777777" w:rsidR="00C71243" w:rsidRDefault="00000000">
            <w:pPr>
              <w:spacing w:after="30"/>
            </w:pPr>
            <w:r>
              <w:rPr>
                <w:b/>
                <w:bCs/>
                <w:sz w:val="16"/>
                <w:szCs w:val="16"/>
              </w:rPr>
              <w:t>OECD / EC AILit Framework</w:t>
            </w:r>
          </w:p>
          <w:p w14:paraId="37678E8A" w14:textId="77777777" w:rsidR="00C71243" w:rsidRDefault="00000000">
            <w:pPr>
              <w:spacing w:after="30"/>
            </w:pPr>
            <w:r>
              <w:rPr>
                <w:sz w:val="16"/>
                <w:szCs w:val="16"/>
              </w:rPr>
              <w:t>(Review Draft 2025, Final 2026)</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1AD4101D" w14:textId="77777777" w:rsidR="00C71243" w:rsidRDefault="00000000">
            <w:pPr>
              <w:spacing w:after="30"/>
            </w:pPr>
            <w:r>
              <w:rPr>
                <w:sz w:val="16"/>
                <w:szCs w:val="16"/>
              </w:rPr>
              <w:t>4 Domänen:</w:t>
            </w:r>
          </w:p>
          <w:p w14:paraId="547AE30E" w14:textId="77777777" w:rsidR="00C71243" w:rsidRDefault="00000000">
            <w:pPr>
              <w:spacing w:after="30"/>
            </w:pPr>
            <w:r>
              <w:rPr>
                <w:b/>
                <w:bCs/>
                <w:sz w:val="16"/>
                <w:szCs w:val="16"/>
              </w:rPr>
              <w:t>Engage with AI – Create with AI – Manage AI – Design AI</w:t>
            </w:r>
          </w:p>
          <w:p w14:paraId="0965649C" w14:textId="77777777" w:rsidR="00C71243" w:rsidRDefault="00000000">
            <w:pPr>
              <w:spacing w:after="30"/>
            </w:pPr>
            <w:r>
              <w:rPr>
                <w:sz w:val="16"/>
                <w:szCs w:val="16"/>
              </w:rPr>
              <w:t>22 Kompetenzen, gegliedert in Knowledge, Skills, Attitudes</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11D163F4" w14:textId="77777777" w:rsidR="00C71243" w:rsidRDefault="00000000">
            <w:pPr>
              <w:spacing w:after="30"/>
            </w:pPr>
            <w:r>
              <w:rPr>
                <w:b/>
                <w:bCs/>
                <w:sz w:val="16"/>
                <w:szCs w:val="16"/>
              </w:rPr>
              <w:t>AI Literacy ist kein Zusatzfach, sondern eine interdisziplinäre Grundkompetenz.</w:t>
            </w:r>
          </w:p>
          <w:p w14:paraId="28F452B8" w14:textId="77777777" w:rsidR="00C71243" w:rsidRDefault="00000000">
            <w:pPr>
              <w:spacing w:after="30"/>
            </w:pPr>
            <w:r>
              <w:rPr>
                <w:sz w:val="16"/>
                <w:szCs w:val="16"/>
              </w:rPr>
              <w:t>Lernende sollen KI nicht nur nutzen, sondern kritisch bewerten, mitgestalten und in Bezug auf Individuen, Gesellschaft und Umwelt einordnen können. Ethik ist kein Anhang, sondern durchzieht alle Domänen.</w:t>
            </w:r>
          </w:p>
        </w:tc>
        <w:tc>
          <w:tcPr>
            <w:tcW w:w="15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01636D5" w14:textId="77777777" w:rsidR="00C71243" w:rsidRDefault="00000000">
            <w:pPr>
              <w:spacing w:after="30"/>
            </w:pPr>
            <w:r>
              <w:rPr>
                <w:sz w:val="16"/>
                <w:szCs w:val="16"/>
              </w:rPr>
              <w:t>SuS (Primar- und Sekundarstufe)</w:t>
            </w:r>
          </w:p>
          <w:p w14:paraId="2F4268FD" w14:textId="77777777" w:rsidR="00C71243" w:rsidRDefault="00000000">
            <w:pPr>
              <w:spacing w:after="30"/>
            </w:pPr>
            <w:r>
              <w:rPr>
                <w:sz w:val="16"/>
                <w:szCs w:val="16"/>
              </w:rPr>
              <w:t>Lehrkräfte als Implementierende</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21C2830F" w14:textId="77777777" w:rsidR="00C71243" w:rsidRDefault="00000000">
            <w:pPr>
              <w:spacing w:after="30"/>
            </w:pPr>
            <w:r>
              <w:rPr>
                <w:sz w:val="16"/>
                <w:szCs w:val="16"/>
              </w:rPr>
              <w:t>Kompetenzstandards für PISA 2029</w:t>
            </w:r>
          </w:p>
          <w:p w14:paraId="3E2AA56D" w14:textId="77777777" w:rsidR="00C71243" w:rsidRDefault="00000000">
            <w:pPr>
              <w:spacing w:after="30"/>
            </w:pPr>
            <w:r>
              <w:rPr>
                <w:sz w:val="16"/>
                <w:szCs w:val="16"/>
              </w:rPr>
              <w:t>Fächerübergreifend</w:t>
            </w:r>
          </w:p>
          <w:p w14:paraId="05190B50" w14:textId="77777777" w:rsidR="00C71243" w:rsidRDefault="00000000">
            <w:pPr>
              <w:spacing w:after="30"/>
            </w:pPr>
            <w:r>
              <w:rPr>
                <w:sz w:val="16"/>
                <w:szCs w:val="16"/>
              </w:rPr>
              <w:t>Globale Vergleichbarkeit</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2CD39ED5" w14:textId="77777777" w:rsidR="00C71243" w:rsidRDefault="00000000">
            <w:pPr>
              <w:spacing w:after="30"/>
            </w:pPr>
            <w:r>
              <w:rPr>
                <w:sz w:val="16"/>
                <w:szCs w:val="16"/>
              </w:rPr>
              <w:t>Umfassendster Kompetenzrahmen</w:t>
            </w:r>
          </w:p>
          <w:p w14:paraId="4D810FA5" w14:textId="77777777" w:rsidR="00C71243" w:rsidRDefault="00000000">
            <w:pPr>
              <w:spacing w:after="30"/>
            </w:pPr>
            <w:r>
              <w:rPr>
                <w:sz w:val="16"/>
                <w:szCs w:val="16"/>
              </w:rPr>
              <w:t>Empirisch fundiert</w:t>
            </w:r>
          </w:p>
          <w:p w14:paraId="6B42049B" w14:textId="77777777" w:rsidR="00C71243" w:rsidRDefault="00000000">
            <w:pPr>
              <w:spacing w:after="30"/>
            </w:pPr>
            <w:r>
              <w:rPr>
                <w:sz w:val="16"/>
                <w:szCs w:val="16"/>
              </w:rPr>
              <w:t>Fächerintegriert statt informatik-zentriert</w:t>
            </w:r>
          </w:p>
        </w:tc>
        <w:tc>
          <w:tcPr>
            <w:tcW w:w="138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5EB79C14" w14:textId="77777777" w:rsidR="00C71243" w:rsidRDefault="00000000">
            <w:pPr>
              <w:spacing w:after="30"/>
            </w:pPr>
            <w:r>
              <w:rPr>
                <w:sz w:val="16"/>
                <w:szCs w:val="16"/>
              </w:rPr>
              <w:t>Noch kein Implementierungs-Toolkit</w:t>
            </w:r>
          </w:p>
          <w:p w14:paraId="44EB8927" w14:textId="77777777" w:rsidR="00C71243" w:rsidRDefault="00000000">
            <w:pPr>
              <w:spacing w:after="30"/>
            </w:pPr>
            <w:r>
              <w:rPr>
                <w:sz w:val="16"/>
                <w:szCs w:val="16"/>
              </w:rPr>
              <w:t>Keine Progression nach Alter/Jahrgang</w:t>
            </w:r>
          </w:p>
          <w:p w14:paraId="1AF96780" w14:textId="77777777" w:rsidR="00C71243" w:rsidRDefault="00000000">
            <w:pPr>
              <w:spacing w:after="30"/>
            </w:pPr>
            <w:r>
              <w:rPr>
                <w:sz w:val="16"/>
                <w:szCs w:val="16"/>
              </w:rPr>
              <w:t>Wenig zu Lehrkräftequalifizierung</w:t>
            </w:r>
          </w:p>
        </w:tc>
      </w:tr>
      <w:tr w:rsidR="00C71243" w14:paraId="6BD63E26" w14:textId="77777777">
        <w:tc>
          <w:tcPr>
            <w:tcW w:w="18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5A1DD813" w14:textId="77777777" w:rsidR="00C71243" w:rsidRDefault="00000000">
            <w:pPr>
              <w:spacing w:after="30"/>
            </w:pPr>
            <w:r>
              <w:rPr>
                <w:b/>
                <w:bCs/>
                <w:sz w:val="16"/>
                <w:szCs w:val="16"/>
              </w:rPr>
              <w:t>Singapur MOE</w:t>
            </w:r>
          </w:p>
          <w:p w14:paraId="45F744AB" w14:textId="77777777" w:rsidR="00C71243" w:rsidRDefault="00000000">
            <w:pPr>
              <w:spacing w:after="30"/>
            </w:pPr>
            <w:r>
              <w:rPr>
                <w:sz w:val="16"/>
                <w:szCs w:val="16"/>
              </w:rPr>
              <w:t>EdTech Masterplan 2030</w:t>
            </w:r>
          </w:p>
          <w:p w14:paraId="3A121FF3" w14:textId="77777777" w:rsidR="00C71243" w:rsidRDefault="00000000">
            <w:pPr>
              <w:spacing w:after="30"/>
            </w:pPr>
            <w:r>
              <w:rPr>
                <w:sz w:val="16"/>
                <w:szCs w:val="16"/>
              </w:rPr>
              <w:t>AIEd Ethics Framework</w:t>
            </w:r>
          </w:p>
        </w:tc>
        <w:tc>
          <w:tcPr>
            <w:tcW w:w="24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64608039" w14:textId="77777777" w:rsidR="00C71243" w:rsidRDefault="00000000">
            <w:pPr>
              <w:spacing w:after="30"/>
            </w:pPr>
            <w:r>
              <w:rPr>
                <w:sz w:val="16"/>
                <w:szCs w:val="16"/>
              </w:rPr>
              <w:t>4-Stufen-Modell:</w:t>
            </w:r>
          </w:p>
          <w:p w14:paraId="6523E777" w14:textId="77777777" w:rsidR="00C71243" w:rsidRDefault="00000000">
            <w:pPr>
              <w:spacing w:after="30"/>
            </w:pPr>
            <w:r>
              <w:rPr>
                <w:b/>
                <w:bCs/>
                <w:sz w:val="16"/>
                <w:szCs w:val="16"/>
              </w:rPr>
              <w:t>Learn about AI – Learn to use AI – Learn with AI – Learn beyond AI</w:t>
            </w:r>
          </w:p>
          <w:p w14:paraId="2D73BB7D" w14:textId="77777777" w:rsidR="00C71243" w:rsidRDefault="00000000">
            <w:pPr>
              <w:spacing w:after="30"/>
            </w:pPr>
            <w:r>
              <w:rPr>
                <w:sz w:val="16"/>
                <w:szCs w:val="16"/>
              </w:rPr>
              <w:t>Eingebettet in nationale Lernplattform (SLS) mit KI-Tools (LEA, ALS)</w:t>
            </w:r>
          </w:p>
        </w:tc>
        <w:tc>
          <w:tcPr>
            <w:tcW w:w="28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4BEC7C88" w14:textId="77777777" w:rsidR="00C71243" w:rsidRDefault="00000000">
            <w:pPr>
              <w:spacing w:after="30"/>
            </w:pPr>
            <w:r>
              <w:rPr>
                <w:b/>
                <w:bCs/>
                <w:sz w:val="16"/>
                <w:szCs w:val="16"/>
              </w:rPr>
              <w:t>Pädagogik steht immer vor Technologie.</w:t>
            </w:r>
          </w:p>
          <w:p w14:paraId="4A724A3E" w14:textId="77777777" w:rsidR="00C71243" w:rsidRDefault="00000000">
            <w:pPr>
              <w:spacing w:after="30"/>
            </w:pPr>
            <w:r>
              <w:rPr>
                <w:sz w:val="16"/>
                <w:szCs w:val="16"/>
              </w:rPr>
              <w:t>KI-Tools werden nur dann eingesetzt, wenn sie pädagogisch begründet sind, altersangemessen gestaltet und durch Guardrails geschützt. Die Lehrkraft bleibt zentrale Entscheidungsinstanz.</w:t>
            </w:r>
          </w:p>
        </w:tc>
        <w:tc>
          <w:tcPr>
            <w:tcW w:w="15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1D970863" w14:textId="77777777" w:rsidR="00C71243" w:rsidRDefault="00000000">
            <w:pPr>
              <w:spacing w:after="30"/>
            </w:pPr>
            <w:r>
              <w:rPr>
                <w:sz w:val="16"/>
                <w:szCs w:val="16"/>
              </w:rPr>
              <w:t>Gesamtes Schulsystem (Primar bis Sek. II)</w:t>
            </w:r>
          </w:p>
          <w:p w14:paraId="46298BF7" w14:textId="77777777" w:rsidR="00C71243" w:rsidRDefault="00000000">
            <w:pPr>
              <w:spacing w:after="30"/>
            </w:pPr>
            <w:r>
              <w:rPr>
                <w:sz w:val="16"/>
                <w:szCs w:val="16"/>
              </w:rPr>
              <w:t>Lehrkräfte + Schulleitungen</w:t>
            </w:r>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42EB5FF1" w14:textId="77777777" w:rsidR="00C71243" w:rsidRDefault="00000000">
            <w:pPr>
              <w:spacing w:after="30"/>
            </w:pPr>
            <w:r>
              <w:rPr>
                <w:sz w:val="16"/>
                <w:szCs w:val="16"/>
              </w:rPr>
              <w:t>Systemische Integration</w:t>
            </w:r>
          </w:p>
          <w:p w14:paraId="5ACC78E4" w14:textId="77777777" w:rsidR="00C71243" w:rsidRDefault="00000000">
            <w:pPr>
              <w:spacing w:after="30"/>
            </w:pPr>
            <w:r>
              <w:rPr>
                <w:sz w:val="16"/>
                <w:szCs w:val="16"/>
              </w:rPr>
              <w:t>Altersangemessenheit</w:t>
            </w:r>
          </w:p>
          <w:p w14:paraId="7146A295" w14:textId="77777777" w:rsidR="00C71243" w:rsidRDefault="00000000">
            <w:pPr>
              <w:spacing w:after="30"/>
            </w:pPr>
            <w:r>
              <w:rPr>
                <w:sz w:val="16"/>
                <w:szCs w:val="16"/>
              </w:rPr>
              <w:t>Plattform-basiert</w:t>
            </w:r>
          </w:p>
          <w:p w14:paraId="3DD83394" w14:textId="77777777" w:rsidR="00C71243" w:rsidRDefault="00000000">
            <w:pPr>
              <w:spacing w:after="30"/>
            </w:pPr>
            <w:r>
              <w:rPr>
                <w:sz w:val="16"/>
                <w:szCs w:val="16"/>
              </w:rPr>
              <w:t>Ethik by Design</w:t>
            </w:r>
          </w:p>
        </w:tc>
        <w:tc>
          <w:tcPr>
            <w:tcW w:w="18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2A3F7B93" w14:textId="77777777" w:rsidR="00C71243" w:rsidRDefault="00000000">
            <w:pPr>
              <w:spacing w:after="30"/>
            </w:pPr>
            <w:r>
              <w:rPr>
                <w:sz w:val="16"/>
                <w:szCs w:val="16"/>
              </w:rPr>
              <w:t>Konsequenteste Top-down-Implementation</w:t>
            </w:r>
          </w:p>
          <w:p w14:paraId="607482D4" w14:textId="77777777" w:rsidR="00C71243" w:rsidRDefault="00000000">
            <w:pPr>
              <w:spacing w:after="30"/>
            </w:pPr>
            <w:r>
              <w:rPr>
                <w:sz w:val="16"/>
                <w:szCs w:val="16"/>
              </w:rPr>
              <w:t>Pädagogik-first-Prinzip</w:t>
            </w:r>
          </w:p>
          <w:p w14:paraId="70CBE358" w14:textId="77777777" w:rsidR="00C71243" w:rsidRDefault="00000000">
            <w:pPr>
              <w:spacing w:after="30"/>
            </w:pPr>
            <w:r>
              <w:rPr>
                <w:sz w:val="16"/>
                <w:szCs w:val="16"/>
              </w:rPr>
              <w:t>Nationale Plattform als Gleichheitsgarant</w:t>
            </w:r>
          </w:p>
        </w:tc>
        <w:tc>
          <w:tcPr>
            <w:tcW w:w="138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58DD8920" w14:textId="77777777" w:rsidR="00C71243" w:rsidRDefault="00000000">
            <w:pPr>
              <w:spacing w:after="30"/>
            </w:pPr>
            <w:r>
              <w:rPr>
                <w:sz w:val="16"/>
                <w:szCs w:val="16"/>
              </w:rPr>
              <w:t>Schwer übertragbar auf föderale Systeme (z. B. DE)</w:t>
            </w:r>
          </w:p>
          <w:p w14:paraId="45E26884" w14:textId="77777777" w:rsidR="00C71243" w:rsidRDefault="00000000">
            <w:pPr>
              <w:spacing w:after="30"/>
            </w:pPr>
            <w:r>
              <w:rPr>
                <w:sz w:val="16"/>
                <w:szCs w:val="16"/>
              </w:rPr>
              <w:t>Wenig zu fach-spezifischer Didaktik</w:t>
            </w:r>
          </w:p>
          <w:p w14:paraId="19D06C44" w14:textId="77777777" w:rsidR="00C71243" w:rsidRDefault="00000000">
            <w:pPr>
              <w:spacing w:after="30"/>
            </w:pPr>
            <w:r>
              <w:rPr>
                <w:sz w:val="16"/>
                <w:szCs w:val="16"/>
              </w:rPr>
              <w:t>Kulturell homogener Kontext</w:t>
            </w:r>
          </w:p>
        </w:tc>
      </w:tr>
      <w:tr w:rsidR="00C71243" w14:paraId="2CC2B133" w14:textId="77777777">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151B22A8" w14:textId="77777777" w:rsidR="00C71243" w:rsidRDefault="00000000">
            <w:pPr>
              <w:spacing w:after="30"/>
            </w:pPr>
            <w:r>
              <w:rPr>
                <w:b/>
                <w:bCs/>
                <w:sz w:val="16"/>
                <w:szCs w:val="16"/>
              </w:rPr>
              <w:t>UNESCO AI CFT</w:t>
            </w:r>
          </w:p>
          <w:p w14:paraId="4D0D3B41" w14:textId="77777777" w:rsidR="00C71243" w:rsidRDefault="00000000">
            <w:pPr>
              <w:spacing w:after="30"/>
            </w:pPr>
            <w:r>
              <w:rPr>
                <w:sz w:val="16"/>
                <w:szCs w:val="16"/>
              </w:rPr>
              <w:t>AI Competency Framework for Teachers (2024)</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0FA71D9C" w14:textId="77777777" w:rsidR="00C71243" w:rsidRDefault="00000000">
            <w:pPr>
              <w:spacing w:after="30"/>
            </w:pPr>
            <w:r>
              <w:rPr>
                <w:sz w:val="16"/>
                <w:szCs w:val="16"/>
              </w:rPr>
              <w:t>5 Dimensionen:</w:t>
            </w:r>
          </w:p>
          <w:p w14:paraId="192799DA" w14:textId="77777777" w:rsidR="00C71243" w:rsidRDefault="00000000">
            <w:pPr>
              <w:spacing w:after="30"/>
            </w:pPr>
            <w:r>
              <w:rPr>
                <w:b/>
                <w:bCs/>
                <w:sz w:val="16"/>
                <w:szCs w:val="16"/>
              </w:rPr>
              <w:t>Human-centred mindset – Ethics of AI – AI foundations – AI pedagogy – AI for professional learning</w:t>
            </w:r>
          </w:p>
          <w:p w14:paraId="1F46122B" w14:textId="77777777" w:rsidR="00C71243" w:rsidRDefault="00000000">
            <w:pPr>
              <w:spacing w:after="30"/>
            </w:pPr>
            <w:r>
              <w:rPr>
                <w:sz w:val="16"/>
                <w:szCs w:val="16"/>
              </w:rPr>
              <w:t>3 Progressionsstufen: Acquire – Deepen – Create</w:t>
            </w:r>
          </w:p>
          <w:p w14:paraId="5E33CA85" w14:textId="77777777" w:rsidR="00C71243" w:rsidRDefault="00000000">
            <w:pPr>
              <w:spacing w:after="30"/>
            </w:pPr>
            <w:r>
              <w:rPr>
                <w:sz w:val="16"/>
                <w:szCs w:val="16"/>
              </w:rPr>
              <w:t>15 Kompetenzblöcke (5×3)</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03ED346D" w14:textId="77777777" w:rsidR="00C71243" w:rsidRDefault="00000000">
            <w:pPr>
              <w:spacing w:after="30"/>
            </w:pPr>
            <w:r>
              <w:rPr>
                <w:b/>
                <w:bCs/>
                <w:sz w:val="16"/>
                <w:szCs w:val="16"/>
              </w:rPr>
              <w:t>Die Lehrkraft muss KI zuerst selbst verstehen, bevor sie sie unterrichten kann.</w:t>
            </w:r>
          </w:p>
          <w:p w14:paraId="3E00E07C" w14:textId="77777777" w:rsidR="00C71243" w:rsidRDefault="00000000">
            <w:pPr>
              <w:spacing w:after="30"/>
            </w:pPr>
            <w:r>
              <w:rPr>
                <w:sz w:val="16"/>
                <w:szCs w:val="16"/>
              </w:rPr>
              <w:t>KI verändert das Verhältnis Lehrkraft–SuS zu einem Dreieck Lehrkraft–KI–SuS. Die Lehrkraft bleibt verantwortlich für pädagogische Entscheidungen; KI darf menschliche Agency nicht ersetzen, sondern soll sie stärken.</w:t>
            </w:r>
          </w:p>
        </w:tc>
        <w:tc>
          <w:tcPr>
            <w:tcW w:w="15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2B0D94D" w14:textId="77777777" w:rsidR="00C71243" w:rsidRDefault="00000000">
            <w:pPr>
              <w:spacing w:after="30"/>
            </w:pPr>
            <w:r>
              <w:rPr>
                <w:sz w:val="16"/>
                <w:szCs w:val="16"/>
              </w:rPr>
              <w:t>Lehrkräfte (alle Fächer, alle Stufen)</w:t>
            </w:r>
          </w:p>
          <w:p w14:paraId="158D3A2A" w14:textId="77777777" w:rsidR="00C71243" w:rsidRDefault="00000000">
            <w:pPr>
              <w:spacing w:after="30"/>
            </w:pPr>
            <w:r>
              <w:rPr>
                <w:sz w:val="16"/>
                <w:szCs w:val="16"/>
              </w:rPr>
              <w:t>Bildungspolitik</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65FD12E8" w14:textId="77777777" w:rsidR="00C71243" w:rsidRDefault="00000000">
            <w:pPr>
              <w:spacing w:after="30"/>
            </w:pPr>
            <w:r>
              <w:rPr>
                <w:sz w:val="16"/>
                <w:szCs w:val="16"/>
              </w:rPr>
              <w:t>Lehrkräftequalifizierung</w:t>
            </w:r>
          </w:p>
          <w:p w14:paraId="38CB2A38" w14:textId="77777777" w:rsidR="00C71243" w:rsidRDefault="00000000">
            <w:pPr>
              <w:spacing w:after="30"/>
            </w:pPr>
            <w:r>
              <w:rPr>
                <w:sz w:val="16"/>
                <w:szCs w:val="16"/>
              </w:rPr>
              <w:t>Globaler Süden</w:t>
            </w:r>
          </w:p>
          <w:p w14:paraId="651F7B4F" w14:textId="77777777" w:rsidR="00C71243" w:rsidRDefault="00000000">
            <w:pPr>
              <w:spacing w:after="30"/>
            </w:pPr>
            <w:r>
              <w:rPr>
                <w:sz w:val="16"/>
                <w:szCs w:val="16"/>
              </w:rPr>
              <w:t>Inklusivität</w:t>
            </w:r>
          </w:p>
          <w:p w14:paraId="03CA8528" w14:textId="77777777" w:rsidR="00C71243" w:rsidRDefault="00000000">
            <w:pPr>
              <w:spacing w:after="30"/>
            </w:pPr>
            <w:r>
              <w:rPr>
                <w:sz w:val="16"/>
                <w:szCs w:val="16"/>
              </w:rPr>
              <w:t>Human Agency</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0B6301E3" w14:textId="77777777" w:rsidR="00C71243" w:rsidRDefault="00000000">
            <w:pPr>
              <w:spacing w:after="30"/>
            </w:pPr>
            <w:r>
              <w:rPr>
                <w:sz w:val="16"/>
                <w:szCs w:val="16"/>
              </w:rPr>
              <w:t>Einziges Framework mit explizitem Fokus auf Lehrkräfte</w:t>
            </w:r>
          </w:p>
          <w:p w14:paraId="704C1756" w14:textId="77777777" w:rsidR="00C71243" w:rsidRDefault="00000000">
            <w:pPr>
              <w:spacing w:after="30"/>
            </w:pPr>
            <w:r>
              <w:rPr>
                <w:sz w:val="16"/>
                <w:szCs w:val="16"/>
              </w:rPr>
              <w:t>Klare Progressionsstufen</w:t>
            </w:r>
          </w:p>
          <w:p w14:paraId="32282F16" w14:textId="77777777" w:rsidR="00C71243" w:rsidRDefault="00000000">
            <w:pPr>
              <w:spacing w:after="30"/>
            </w:pPr>
            <w:r>
              <w:rPr>
                <w:sz w:val="16"/>
                <w:szCs w:val="16"/>
              </w:rPr>
              <w:t>Globale Anwendbarkeit inkl. Low-Resource-Kontexte</w:t>
            </w:r>
          </w:p>
        </w:tc>
        <w:tc>
          <w:tcPr>
            <w:tcW w:w="138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AA32799" w14:textId="77777777" w:rsidR="00C71243" w:rsidRDefault="00000000">
            <w:pPr>
              <w:spacing w:after="30"/>
            </w:pPr>
            <w:r>
              <w:rPr>
                <w:sz w:val="16"/>
                <w:szCs w:val="16"/>
              </w:rPr>
              <w:t>Keine konkreten Unterrichtsszenarien</w:t>
            </w:r>
          </w:p>
          <w:p w14:paraId="7032F2CB" w14:textId="77777777" w:rsidR="00C71243" w:rsidRDefault="00000000">
            <w:pPr>
              <w:spacing w:after="30"/>
            </w:pPr>
            <w:r>
              <w:rPr>
                <w:sz w:val="16"/>
                <w:szCs w:val="16"/>
              </w:rPr>
              <w:t>Progression ist linear gedacht, nicht adaptiv</w:t>
            </w:r>
          </w:p>
          <w:p w14:paraId="6D994A42" w14:textId="77777777" w:rsidR="00C71243" w:rsidRDefault="00000000">
            <w:pPr>
              <w:spacing w:after="30"/>
            </w:pPr>
            <w:r>
              <w:rPr>
                <w:sz w:val="16"/>
                <w:szCs w:val="16"/>
              </w:rPr>
              <w:t>Wenig zu GenAI-spezifischen Kompetenzen</w:t>
            </w:r>
          </w:p>
        </w:tc>
      </w:tr>
      <w:tr w:rsidR="00C71243" w14:paraId="4144E211" w14:textId="77777777">
        <w:tc>
          <w:tcPr>
            <w:tcW w:w="18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4414C8AB" w14:textId="77777777" w:rsidR="00C71243" w:rsidRDefault="00000000">
            <w:pPr>
              <w:spacing w:after="30"/>
            </w:pPr>
            <w:r>
              <w:rPr>
                <w:b/>
                <w:bCs/>
                <w:sz w:val="16"/>
                <w:szCs w:val="16"/>
              </w:rPr>
              <w:t>Australien</w:t>
            </w:r>
          </w:p>
          <w:p w14:paraId="6C632B79" w14:textId="77777777" w:rsidR="00C71243" w:rsidRDefault="00000000">
            <w:pPr>
              <w:spacing w:after="30"/>
            </w:pPr>
            <w:r>
              <w:rPr>
                <w:sz w:val="16"/>
                <w:szCs w:val="16"/>
              </w:rPr>
              <w:t>Framework for Generative AI in Schools (2023, Review 2024/25)</w:t>
            </w:r>
          </w:p>
        </w:tc>
        <w:tc>
          <w:tcPr>
            <w:tcW w:w="24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3387BB9E" w14:textId="77777777" w:rsidR="00C71243" w:rsidRDefault="00000000">
            <w:pPr>
              <w:spacing w:after="30"/>
            </w:pPr>
            <w:r>
              <w:rPr>
                <w:sz w:val="16"/>
                <w:szCs w:val="16"/>
              </w:rPr>
              <w:t>6 Leitprinzipien:</w:t>
            </w:r>
          </w:p>
          <w:p w14:paraId="79355D35" w14:textId="77777777" w:rsidR="00C71243" w:rsidRDefault="00000000">
            <w:pPr>
              <w:spacing w:after="30"/>
            </w:pPr>
            <w:r>
              <w:rPr>
                <w:b/>
                <w:bCs/>
                <w:sz w:val="16"/>
                <w:szCs w:val="16"/>
              </w:rPr>
              <w:t>Teaching &amp; Learning – Human &amp; Social Wellbeing – Transparency – Fairness – Accountability – Privacy/Security/Safety</w:t>
            </w:r>
          </w:p>
          <w:p w14:paraId="0F45BF08" w14:textId="77777777" w:rsidR="00C71243" w:rsidRDefault="00000000">
            <w:pPr>
              <w:spacing w:after="30"/>
            </w:pPr>
            <w:r>
              <w:rPr>
                <w:sz w:val="16"/>
                <w:szCs w:val="16"/>
              </w:rPr>
              <w:t>Jährliche Review durch National AI Taskforce</w:t>
            </w:r>
          </w:p>
        </w:tc>
        <w:tc>
          <w:tcPr>
            <w:tcW w:w="28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01BE444A" w14:textId="77777777" w:rsidR="00C71243" w:rsidRDefault="00000000">
            <w:pPr>
              <w:spacing w:after="30"/>
            </w:pPr>
            <w:r>
              <w:rPr>
                <w:b/>
                <w:bCs/>
                <w:sz w:val="16"/>
                <w:szCs w:val="16"/>
              </w:rPr>
              <w:t>Verantwortungsvoller KI-Einsatz braucht schulweite Governance, nicht nur individuelle Lehrkraftkompetenz.</w:t>
            </w:r>
          </w:p>
          <w:p w14:paraId="7B4E8F10" w14:textId="77777777" w:rsidR="00C71243" w:rsidRDefault="00000000">
            <w:pPr>
              <w:spacing w:after="30"/>
            </w:pPr>
            <w:r>
              <w:rPr>
                <w:sz w:val="16"/>
                <w:szCs w:val="16"/>
              </w:rPr>
              <w:t xml:space="preserve">KI-Nutzung muss auf Schulebene geregelt, transparent gemacht und regelmäßig überprüft werden. </w:t>
            </w:r>
            <w:r>
              <w:rPr>
                <w:sz w:val="16"/>
                <w:szCs w:val="16"/>
              </w:rPr>
              <w:lastRenderedPageBreak/>
              <w:t>Lehrkräfte brauchen institutionelle Rückendeckung, nicht nur Fortbildung.</w:t>
            </w:r>
          </w:p>
        </w:tc>
        <w:tc>
          <w:tcPr>
            <w:tcW w:w="15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0FD36442" w14:textId="77777777" w:rsidR="00C71243" w:rsidRDefault="00000000">
            <w:pPr>
              <w:spacing w:after="30"/>
            </w:pPr>
            <w:r>
              <w:rPr>
                <w:sz w:val="16"/>
                <w:szCs w:val="16"/>
              </w:rPr>
              <w:lastRenderedPageBreak/>
              <w:t>Schulgemeinschaft: Leitungen, Lehrkräfte, Eltern, Dienstleister, Politik</w:t>
            </w:r>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3BBA03BB" w14:textId="77777777" w:rsidR="00C71243" w:rsidRDefault="00000000">
            <w:pPr>
              <w:spacing w:after="30"/>
            </w:pPr>
            <w:r>
              <w:rPr>
                <w:sz w:val="16"/>
                <w:szCs w:val="16"/>
              </w:rPr>
              <w:t>Governance</w:t>
            </w:r>
          </w:p>
          <w:p w14:paraId="6A2DE8E9" w14:textId="77777777" w:rsidR="00C71243" w:rsidRDefault="00000000">
            <w:pPr>
              <w:spacing w:after="30"/>
            </w:pPr>
            <w:r>
              <w:rPr>
                <w:sz w:val="16"/>
                <w:szCs w:val="16"/>
              </w:rPr>
              <w:t>Datenschutz</w:t>
            </w:r>
          </w:p>
          <w:p w14:paraId="7E4D1386" w14:textId="77777777" w:rsidR="00C71243" w:rsidRDefault="00000000">
            <w:pPr>
              <w:spacing w:after="30"/>
            </w:pPr>
            <w:r>
              <w:rPr>
                <w:sz w:val="16"/>
                <w:szCs w:val="16"/>
              </w:rPr>
              <w:t>Equity</w:t>
            </w:r>
          </w:p>
          <w:p w14:paraId="6DF2F68F" w14:textId="77777777" w:rsidR="00C71243" w:rsidRDefault="00000000">
            <w:pPr>
              <w:spacing w:after="30"/>
            </w:pPr>
            <w:r>
              <w:rPr>
                <w:sz w:val="16"/>
                <w:szCs w:val="16"/>
              </w:rPr>
              <w:t>Ökologische Nachhaltigkeit</w:t>
            </w:r>
          </w:p>
          <w:p w14:paraId="1CE9C7F5" w14:textId="77777777" w:rsidR="00C71243" w:rsidRDefault="00000000">
            <w:pPr>
              <w:spacing w:after="30"/>
            </w:pPr>
            <w:r>
              <w:rPr>
                <w:sz w:val="16"/>
                <w:szCs w:val="16"/>
              </w:rPr>
              <w:t>Deepfake-Risiken</w:t>
            </w:r>
          </w:p>
        </w:tc>
        <w:tc>
          <w:tcPr>
            <w:tcW w:w="18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4FA8CD28" w14:textId="77777777" w:rsidR="00C71243" w:rsidRDefault="00000000">
            <w:pPr>
              <w:spacing w:after="30"/>
            </w:pPr>
            <w:r>
              <w:rPr>
                <w:sz w:val="16"/>
                <w:szCs w:val="16"/>
              </w:rPr>
              <w:t>Governance-Perspektive als Alleinstellungsmerkmal</w:t>
            </w:r>
          </w:p>
          <w:p w14:paraId="19D3587E" w14:textId="77777777" w:rsidR="00C71243" w:rsidRDefault="00000000">
            <w:pPr>
              <w:spacing w:after="30"/>
            </w:pPr>
            <w:r>
              <w:rPr>
                <w:sz w:val="16"/>
                <w:szCs w:val="16"/>
              </w:rPr>
              <w:t>Jährliche Review</w:t>
            </w:r>
          </w:p>
          <w:p w14:paraId="5BF68EE5" w14:textId="77777777" w:rsidR="00C71243" w:rsidRDefault="00000000">
            <w:pPr>
              <w:spacing w:after="30"/>
            </w:pPr>
            <w:r>
              <w:rPr>
                <w:sz w:val="16"/>
                <w:szCs w:val="16"/>
              </w:rPr>
              <w:t>Anbindung an Australian Curriculum v9.0</w:t>
            </w:r>
          </w:p>
        </w:tc>
        <w:tc>
          <w:tcPr>
            <w:tcW w:w="138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1CD4DF14" w14:textId="77777777" w:rsidR="00C71243" w:rsidRDefault="00000000">
            <w:pPr>
              <w:spacing w:after="30"/>
            </w:pPr>
            <w:r>
              <w:rPr>
                <w:sz w:val="16"/>
                <w:szCs w:val="16"/>
              </w:rPr>
              <w:t>Kein eigenes Kompetenzmodell</w:t>
            </w:r>
          </w:p>
          <w:p w14:paraId="2D7ECDB8" w14:textId="77777777" w:rsidR="00C71243" w:rsidRDefault="00000000">
            <w:pPr>
              <w:spacing w:after="30"/>
            </w:pPr>
            <w:r>
              <w:rPr>
                <w:sz w:val="16"/>
                <w:szCs w:val="16"/>
              </w:rPr>
              <w:t>Fokus auf Generative AI (nicht breiteres ML)</w:t>
            </w:r>
          </w:p>
          <w:p w14:paraId="74A6E24F" w14:textId="77777777" w:rsidR="00C71243" w:rsidRDefault="00000000">
            <w:pPr>
              <w:spacing w:after="30"/>
            </w:pPr>
            <w:r>
              <w:rPr>
                <w:sz w:val="16"/>
                <w:szCs w:val="16"/>
              </w:rPr>
              <w:t>Wenig zu konkreter Unterrichtsdidaktik</w:t>
            </w:r>
          </w:p>
        </w:tc>
      </w:tr>
      <w:tr w:rsidR="00C71243" w14:paraId="4B5C1A1C" w14:textId="77777777">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0AA17946" w14:textId="77777777" w:rsidR="00C71243" w:rsidRDefault="00000000">
            <w:pPr>
              <w:spacing w:after="30"/>
            </w:pPr>
            <w:r>
              <w:rPr>
                <w:b/>
                <w:bCs/>
                <w:sz w:val="16"/>
                <w:szCs w:val="16"/>
              </w:rPr>
              <w:t>UNESCO / Afrika-Kontext</w:t>
            </w:r>
          </w:p>
          <w:p w14:paraId="6FB636C3" w14:textId="77777777" w:rsidR="00C71243" w:rsidRDefault="00000000">
            <w:pPr>
              <w:spacing w:after="30"/>
            </w:pPr>
            <w:r>
              <w:rPr>
                <w:sz w:val="16"/>
                <w:szCs w:val="16"/>
              </w:rPr>
              <w:t>Div. Dokumente: Guidance for GenAI (2023), Cultural Cost of AI (2025), AU Digital Education Strategy (2024)</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3C5FC9DB" w14:textId="77777777" w:rsidR="00C71243" w:rsidRDefault="00000000">
            <w:pPr>
              <w:spacing w:after="30"/>
            </w:pPr>
            <w:r>
              <w:rPr>
                <w:sz w:val="16"/>
                <w:szCs w:val="16"/>
              </w:rPr>
              <w:t>Kein einzelnes Framework, sondern eine Problemdiagnose mit drei Leitthemen:</w:t>
            </w:r>
          </w:p>
          <w:p w14:paraId="41CFA981" w14:textId="77777777" w:rsidR="00C71243" w:rsidRDefault="00000000">
            <w:pPr>
              <w:spacing w:after="30"/>
            </w:pPr>
            <w:r>
              <w:rPr>
                <w:b/>
                <w:bCs/>
                <w:sz w:val="16"/>
                <w:szCs w:val="16"/>
              </w:rPr>
              <w:t>(1) Sprachvielfalt – (2) Kulturelle Passung – (3) Epistemische Gerechtigkeit</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56A696A0" w14:textId="77777777" w:rsidR="00C71243" w:rsidRDefault="00000000">
            <w:pPr>
              <w:spacing w:after="30"/>
            </w:pPr>
            <w:r>
              <w:rPr>
                <w:b/>
                <w:bCs/>
                <w:sz w:val="16"/>
                <w:szCs w:val="16"/>
              </w:rPr>
              <w:t>KI-Systeme sind multilingual, aber monokulturell.</w:t>
            </w:r>
          </w:p>
          <w:p w14:paraId="4FED4D05" w14:textId="77777777" w:rsidR="00C71243" w:rsidRDefault="00000000">
            <w:pPr>
              <w:spacing w:after="30"/>
            </w:pPr>
            <w:r>
              <w:rPr>
                <w:sz w:val="16"/>
                <w:szCs w:val="16"/>
              </w:rPr>
              <w:t>Sie reproduzieren westliche Wissensordnungen und marginalisieren lokale, indigene und nicht-englischsprachige Epistemologien. Bildung muss diesen Bias sichtbar machen, statt ihn zu normalisieren. Sprache ist nicht nur Kommunikationsmittel, sondern trägt Weltsicht.</w:t>
            </w:r>
          </w:p>
        </w:tc>
        <w:tc>
          <w:tcPr>
            <w:tcW w:w="15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5DB08AF0" w14:textId="77777777" w:rsidR="00C71243" w:rsidRDefault="00000000">
            <w:pPr>
              <w:spacing w:after="30"/>
            </w:pPr>
            <w:r>
              <w:rPr>
                <w:sz w:val="16"/>
                <w:szCs w:val="16"/>
              </w:rPr>
              <w:t>Bildungssysteme des Globalen Südens</w:t>
            </w:r>
          </w:p>
          <w:p w14:paraId="58CEF606" w14:textId="77777777" w:rsidR="00C71243" w:rsidRDefault="00000000">
            <w:pPr>
              <w:spacing w:after="30"/>
            </w:pPr>
            <w:r>
              <w:rPr>
                <w:sz w:val="16"/>
                <w:szCs w:val="16"/>
              </w:rPr>
              <w:t>Lehrkräfte in Low-Resource-Kontexten</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16C1200B" w14:textId="77777777" w:rsidR="00C71243" w:rsidRDefault="00000000">
            <w:pPr>
              <w:spacing w:after="30"/>
            </w:pPr>
            <w:r>
              <w:rPr>
                <w:sz w:val="16"/>
                <w:szCs w:val="16"/>
              </w:rPr>
              <w:t>Bias als kulturelles (nicht nur technisches) Problem</w:t>
            </w:r>
          </w:p>
          <w:p w14:paraId="09F71400" w14:textId="77777777" w:rsidR="00C71243" w:rsidRDefault="00000000">
            <w:pPr>
              <w:spacing w:after="30"/>
            </w:pPr>
            <w:r>
              <w:rPr>
                <w:sz w:val="16"/>
                <w:szCs w:val="16"/>
              </w:rPr>
              <w:t>Dekoloniale Perspektive</w:t>
            </w:r>
          </w:p>
          <w:p w14:paraId="66C6FAD8" w14:textId="77777777" w:rsidR="00C71243" w:rsidRDefault="00000000">
            <w:pPr>
              <w:spacing w:after="30"/>
            </w:pPr>
            <w:r>
              <w:rPr>
                <w:sz w:val="16"/>
                <w:szCs w:val="16"/>
              </w:rPr>
              <w:t>Low-Resource-Implementierung</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7A922F2B" w14:textId="77777777" w:rsidR="00C71243" w:rsidRDefault="00000000">
            <w:pPr>
              <w:spacing w:after="30"/>
            </w:pPr>
            <w:r>
              <w:rPr>
                <w:sz w:val="16"/>
                <w:szCs w:val="16"/>
              </w:rPr>
              <w:t>Einzige Perspektive, die epistemische Ungerechtigkeit thematisiert</w:t>
            </w:r>
          </w:p>
          <w:p w14:paraId="55288ABE" w14:textId="77777777" w:rsidR="00C71243" w:rsidRDefault="00000000">
            <w:pPr>
              <w:spacing w:after="30"/>
            </w:pPr>
            <w:r>
              <w:rPr>
                <w:sz w:val="16"/>
                <w:szCs w:val="16"/>
              </w:rPr>
              <w:t>Direkt anschlussfähig für Sprach- und Kunstunterricht</w:t>
            </w:r>
          </w:p>
        </w:tc>
        <w:tc>
          <w:tcPr>
            <w:tcW w:w="138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0F5F7A1C" w14:textId="77777777" w:rsidR="00C71243" w:rsidRDefault="00000000">
            <w:pPr>
              <w:spacing w:after="30"/>
            </w:pPr>
            <w:r>
              <w:rPr>
                <w:sz w:val="16"/>
                <w:szCs w:val="16"/>
              </w:rPr>
              <w:t>Kein operationalisierbares Kompetenzmodell</w:t>
            </w:r>
          </w:p>
          <w:p w14:paraId="5CDC4AE7" w14:textId="77777777" w:rsidR="00C71243" w:rsidRDefault="00000000">
            <w:pPr>
              <w:spacing w:after="30"/>
            </w:pPr>
            <w:r>
              <w:rPr>
                <w:sz w:val="16"/>
                <w:szCs w:val="16"/>
              </w:rPr>
              <w:t>Diagnostisch, nicht konstruktiv</w:t>
            </w:r>
          </w:p>
          <w:p w14:paraId="0A326BBE" w14:textId="77777777" w:rsidR="00C71243" w:rsidRDefault="00000000">
            <w:pPr>
              <w:spacing w:after="30"/>
            </w:pPr>
            <w:r>
              <w:rPr>
                <w:sz w:val="16"/>
                <w:szCs w:val="16"/>
              </w:rPr>
              <w:t>Wenig konkrete Unterrichts-vorschläge</w:t>
            </w:r>
          </w:p>
        </w:tc>
      </w:tr>
      <w:tr w:rsidR="00C71243" w14:paraId="1F0E324B" w14:textId="77777777">
        <w:tc>
          <w:tcPr>
            <w:tcW w:w="18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276285F5" w14:textId="77777777" w:rsidR="00C71243" w:rsidRDefault="00000000">
            <w:pPr>
              <w:spacing w:after="30"/>
            </w:pPr>
            <w:r>
              <w:rPr>
                <w:b/>
                <w:bCs/>
                <w:sz w:val="16"/>
                <w:szCs w:val="16"/>
              </w:rPr>
              <w:t>Code.org / TeachAI</w:t>
            </w:r>
          </w:p>
          <w:p w14:paraId="09B9BD0F" w14:textId="77777777" w:rsidR="00C71243" w:rsidRDefault="00000000">
            <w:pPr>
              <w:spacing w:after="30"/>
            </w:pPr>
            <w:r>
              <w:rPr>
                <w:sz w:val="16"/>
                <w:szCs w:val="16"/>
              </w:rPr>
              <w:t>AI Guidance for Schools Toolkit (2025)</w:t>
            </w:r>
          </w:p>
          <w:p w14:paraId="35968CA4" w14:textId="77777777" w:rsidR="00C71243" w:rsidRDefault="00000000">
            <w:pPr>
              <w:spacing w:after="30"/>
            </w:pPr>
            <w:r>
              <w:rPr>
                <w:sz w:val="16"/>
                <w:szCs w:val="16"/>
              </w:rPr>
              <w:t>Exploring Generative AI Curriculum</w:t>
            </w:r>
          </w:p>
          <w:p w14:paraId="6B9E3F26" w14:textId="77777777" w:rsidR="00C71243" w:rsidRDefault="00000000">
            <w:pPr>
              <w:spacing w:after="30"/>
            </w:pPr>
            <w:r>
              <w:rPr>
                <w:sz w:val="16"/>
                <w:szCs w:val="16"/>
              </w:rPr>
              <w:t>GenAI for Humanities</w:t>
            </w:r>
          </w:p>
        </w:tc>
        <w:tc>
          <w:tcPr>
            <w:tcW w:w="24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30E99143" w14:textId="77777777" w:rsidR="00C71243" w:rsidRDefault="00000000">
            <w:pPr>
              <w:spacing w:after="30"/>
            </w:pPr>
            <w:r>
              <w:rPr>
                <w:sz w:val="16"/>
                <w:szCs w:val="16"/>
              </w:rPr>
              <w:t>7 Leitprinzipien (Toolkit):</w:t>
            </w:r>
          </w:p>
          <w:p w14:paraId="0B7685F1" w14:textId="77777777" w:rsidR="00C71243" w:rsidRDefault="00000000">
            <w:pPr>
              <w:spacing w:after="30"/>
            </w:pPr>
            <w:r>
              <w:rPr>
                <w:b/>
                <w:bCs/>
                <w:sz w:val="16"/>
                <w:szCs w:val="16"/>
              </w:rPr>
              <w:t>Purpose – Compliance – AI Literacy – Balanced Approach – Privacy – Equity – Evaluation</w:t>
            </w:r>
          </w:p>
          <w:p w14:paraId="5CFD36C8" w14:textId="77777777" w:rsidR="00C71243" w:rsidRDefault="00000000">
            <w:pPr>
              <w:spacing w:after="30"/>
            </w:pPr>
            <w:r>
              <w:rPr>
                <w:sz w:val="16"/>
                <w:szCs w:val="16"/>
              </w:rPr>
              <w:t>Dazu: Modulares Curriculum (Units + Standalone-Lektionen)</w:t>
            </w:r>
          </w:p>
        </w:tc>
        <w:tc>
          <w:tcPr>
            <w:tcW w:w="28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792B7463" w14:textId="77777777" w:rsidR="00C71243" w:rsidRDefault="00000000">
            <w:pPr>
              <w:spacing w:after="30"/>
            </w:pPr>
            <w:r>
              <w:rPr>
                <w:b/>
                <w:bCs/>
                <w:sz w:val="16"/>
                <w:szCs w:val="16"/>
              </w:rPr>
              <w:t>AI Literacy gehört in jedes Fach, nicht nur in Informatik.</w:t>
            </w:r>
          </w:p>
          <w:p w14:paraId="131D0316" w14:textId="77777777" w:rsidR="00C71243" w:rsidRDefault="00000000">
            <w:pPr>
              <w:spacing w:after="30"/>
            </w:pPr>
            <w:r>
              <w:rPr>
                <w:sz w:val="16"/>
                <w:szCs w:val="16"/>
              </w:rPr>
              <w:t>SuS lernen am besten, wenn sie KI hands-on erproben, kritisch reflektieren und daraus eigene Handlungsleitlinien entwickeln. Der Weg führt von Exploration über Reflexion zu Agency. Lehrkräfte brauchen fertige, niedrigschwellige Materialien.</w:t>
            </w:r>
          </w:p>
        </w:tc>
        <w:tc>
          <w:tcPr>
            <w:tcW w:w="15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5B0C25E7" w14:textId="77777777" w:rsidR="00C71243" w:rsidRDefault="00000000">
            <w:pPr>
              <w:spacing w:after="30"/>
            </w:pPr>
            <w:r>
              <w:rPr>
                <w:sz w:val="16"/>
                <w:szCs w:val="16"/>
              </w:rPr>
              <w:t>SuS (Grades 3–12)</w:t>
            </w:r>
          </w:p>
          <w:p w14:paraId="7C16F09F" w14:textId="77777777" w:rsidR="00C71243" w:rsidRDefault="00000000">
            <w:pPr>
              <w:spacing w:after="30"/>
            </w:pPr>
            <w:r>
              <w:rPr>
                <w:sz w:val="16"/>
                <w:szCs w:val="16"/>
              </w:rPr>
              <w:t>Lehrkräfte aller Fächer</w:t>
            </w:r>
          </w:p>
          <w:p w14:paraId="1719FE92" w14:textId="77777777" w:rsidR="00C71243" w:rsidRDefault="00000000">
            <w:pPr>
              <w:spacing w:after="30"/>
            </w:pPr>
            <w:r>
              <w:rPr>
                <w:sz w:val="16"/>
                <w:szCs w:val="16"/>
              </w:rPr>
              <w:t>Schulleitungen (Toolkit)</w:t>
            </w:r>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5B47F5CA" w14:textId="77777777" w:rsidR="00C71243" w:rsidRDefault="00000000">
            <w:pPr>
              <w:spacing w:after="30"/>
            </w:pPr>
            <w:r>
              <w:rPr>
                <w:sz w:val="16"/>
                <w:szCs w:val="16"/>
              </w:rPr>
              <w:t>Unmittelbare Unterrichts-praxis</w:t>
            </w:r>
          </w:p>
          <w:p w14:paraId="72AD1C8C" w14:textId="77777777" w:rsidR="00C71243" w:rsidRDefault="00000000">
            <w:pPr>
              <w:spacing w:after="30"/>
            </w:pPr>
            <w:r>
              <w:rPr>
                <w:sz w:val="16"/>
                <w:szCs w:val="16"/>
              </w:rPr>
              <w:t>Handlungs-orientierung</w:t>
            </w:r>
          </w:p>
          <w:p w14:paraId="762D22B6" w14:textId="77777777" w:rsidR="00C71243" w:rsidRDefault="00000000">
            <w:pPr>
              <w:spacing w:after="30"/>
            </w:pPr>
            <w:r>
              <w:rPr>
                <w:sz w:val="16"/>
                <w:szCs w:val="16"/>
              </w:rPr>
              <w:t>Community-Ansatz</w:t>
            </w:r>
          </w:p>
          <w:p w14:paraId="3C99AA10" w14:textId="77777777" w:rsidR="00C71243" w:rsidRDefault="00000000">
            <w:pPr>
              <w:spacing w:after="30"/>
            </w:pPr>
            <w:r>
              <w:rPr>
                <w:sz w:val="16"/>
                <w:szCs w:val="16"/>
              </w:rPr>
              <w:t>Fachintegration (Humanities)</w:t>
            </w:r>
          </w:p>
        </w:tc>
        <w:tc>
          <w:tcPr>
            <w:tcW w:w="18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6E1DEAB9" w14:textId="77777777" w:rsidR="00C71243" w:rsidRDefault="00000000">
            <w:pPr>
              <w:spacing w:after="30"/>
            </w:pPr>
            <w:r>
              <w:rPr>
                <w:sz w:val="16"/>
                <w:szCs w:val="16"/>
              </w:rPr>
              <w:t>Praxisnächster Ansatz</w:t>
            </w:r>
          </w:p>
          <w:p w14:paraId="0CC29CEB" w14:textId="77777777" w:rsidR="00C71243" w:rsidRDefault="00000000">
            <w:pPr>
              <w:spacing w:after="30"/>
            </w:pPr>
            <w:r>
              <w:rPr>
                <w:sz w:val="16"/>
                <w:szCs w:val="16"/>
              </w:rPr>
              <w:t>Erprobte Materialien</w:t>
            </w:r>
          </w:p>
          <w:p w14:paraId="210A9174" w14:textId="77777777" w:rsidR="00C71243" w:rsidRDefault="00000000">
            <w:pPr>
              <w:spacing w:after="30"/>
            </w:pPr>
            <w:r>
              <w:rPr>
                <w:sz w:val="16"/>
                <w:szCs w:val="16"/>
              </w:rPr>
              <w:t>Humanities-Lektionen als Modell für fachintegrierte KI-Bildung</w:t>
            </w:r>
          </w:p>
        </w:tc>
        <w:tc>
          <w:tcPr>
            <w:tcW w:w="138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2D7ADDD1" w14:textId="77777777" w:rsidR="00C71243" w:rsidRDefault="00000000">
            <w:pPr>
              <w:spacing w:after="30"/>
            </w:pPr>
            <w:r>
              <w:rPr>
                <w:sz w:val="16"/>
                <w:szCs w:val="16"/>
              </w:rPr>
              <w:t>US-zentriert (kulturell und curricular)</w:t>
            </w:r>
          </w:p>
          <w:p w14:paraId="5D9C6A20" w14:textId="77777777" w:rsidR="00C71243" w:rsidRDefault="00000000">
            <w:pPr>
              <w:spacing w:after="30"/>
            </w:pPr>
            <w:r>
              <w:rPr>
                <w:sz w:val="16"/>
                <w:szCs w:val="16"/>
              </w:rPr>
              <w:t>Wenig zu Governance auf Systemebene</w:t>
            </w:r>
          </w:p>
          <w:p w14:paraId="54A0273D" w14:textId="77777777" w:rsidR="00C71243" w:rsidRDefault="00000000">
            <w:pPr>
              <w:spacing w:after="30"/>
            </w:pPr>
            <w:r>
              <w:rPr>
                <w:sz w:val="16"/>
                <w:szCs w:val="16"/>
              </w:rPr>
              <w:t>Kompetenzmodell baut auf AILit auf, keine Eigenentwicklung</w:t>
            </w:r>
          </w:p>
        </w:tc>
      </w:tr>
    </w:tbl>
    <w:p w14:paraId="7EAC26A2" w14:textId="77777777" w:rsidR="00C71243" w:rsidRDefault="00000000">
      <w:r>
        <w:br w:type="page"/>
      </w:r>
    </w:p>
    <w:p w14:paraId="2D530851" w14:textId="77777777" w:rsidR="00C71243" w:rsidRDefault="00000000">
      <w:pPr>
        <w:pStyle w:val="Heading1"/>
      </w:pPr>
      <w:r>
        <w:lastRenderedPageBreak/>
        <w:t>Teil 2: Stärken-Schwächen-Analyse</w:t>
      </w:r>
    </w:p>
    <w:p w14:paraId="6572E1D1" w14:textId="77777777" w:rsidR="00C71243" w:rsidRDefault="00000000">
      <w:pPr>
        <w:spacing w:before="100" w:after="100"/>
      </w:pPr>
      <w:r>
        <w:t>Die folgende Analyse fragt bei jedem Ansatz: Was leistet er, was kein anderer leistet? Und was fehlt, wenn man nur diesen Ansatz hätte?</w:t>
      </w:r>
    </w:p>
    <w:p w14:paraId="034DF954" w14:textId="77777777" w:rsidR="00C71243" w:rsidRDefault="00000000">
      <w:pPr>
        <w:pStyle w:val="Heading2"/>
      </w:pPr>
      <w:r>
        <w:t>2.1  OECD/EC AILit Framework</w:t>
      </w:r>
    </w:p>
    <w:p w14:paraId="6162BC4B" w14:textId="77777777" w:rsidR="00C71243" w:rsidRDefault="00000000">
      <w:pPr>
        <w:spacing w:after="100"/>
      </w:pPr>
      <w:r>
        <w:rPr>
          <w:b/>
          <w:bCs/>
          <w:color w:val="1B3A5C"/>
        </w:rPr>
        <w:t xml:space="preserve">Alleinstellungsmerkmal: </w:t>
      </w:r>
      <w:r>
        <w:t>Der umfassendste und empirisch am besten fundierte Kompetenzrahmen. Die vier Domänen (Engage, Create, Manage, Design) bilden das gesamte Spektrum von KI-Interaktion ab – von passiver Nutzung bis zur aktiven Mitgestaltung. Die Verankerung in PISA 2029 gibt dem Framework politisches Gewicht und messbare Verbindlichkeit.</w:t>
      </w:r>
    </w:p>
    <w:p w14:paraId="23DE6C9B" w14:textId="77777777" w:rsidR="00C71243" w:rsidRDefault="00000000">
      <w:pPr>
        <w:spacing w:after="100"/>
      </w:pPr>
      <w:r>
        <w:rPr>
          <w:b/>
          <w:bCs/>
          <w:color w:val="1B3A5C"/>
        </w:rPr>
        <w:t xml:space="preserve">Zentrale Leerstelle: </w:t>
      </w:r>
      <w:r>
        <w:t>Das Framework definiert Was, aber kaum Wie. Es fehlen Implementierungsleitfäden, Progressionsmodelle nach Altersstufen und konkrete Unterrichtsbeispiele (diese sollen erst 2026 folgen). Für Lehrkräfte ohne Informatik-Hintergrund ist der Zugang ohne Begleitmaterial schwer.</w:t>
      </w:r>
    </w:p>
    <w:p w14:paraId="26F93B3F" w14:textId="77777777" w:rsidR="00C71243" w:rsidRDefault="00000000">
      <w:pPr>
        <w:spacing w:after="100"/>
      </w:pPr>
      <w:r>
        <w:rPr>
          <w:b/>
          <w:bCs/>
          <w:color w:val="1B3A5C"/>
        </w:rPr>
        <w:t xml:space="preserve">Konsequenz für die Fortbildung: </w:t>
      </w:r>
      <w:r>
        <w:t>Die vier Domänen dienen als Strukturraster für Szenarien und Progression – aber die Operationalisierung muss von uns geleistet werden.</w:t>
      </w:r>
    </w:p>
    <w:p w14:paraId="4262978F" w14:textId="77777777" w:rsidR="00C71243" w:rsidRDefault="00000000">
      <w:pPr>
        <w:pStyle w:val="Heading2"/>
      </w:pPr>
      <w:r>
        <w:t>2.2  Singapur MOE</w:t>
      </w:r>
    </w:p>
    <w:p w14:paraId="5B5D2137" w14:textId="77777777" w:rsidR="00C71243" w:rsidRDefault="00000000">
      <w:pPr>
        <w:spacing w:after="100"/>
      </w:pPr>
      <w:r>
        <w:rPr>
          <w:b/>
          <w:bCs/>
          <w:color w:val="1B3A5C"/>
        </w:rPr>
        <w:t xml:space="preserve">Alleinstellungsmerkmal: </w:t>
      </w:r>
      <w:r>
        <w:t>Das „Pädagogik-first“-Prinzip ist in keinem anderen Framework so konsequent umgesetzt. Kein Tool wird eingeführt, ohne pädagogische Begründung. Die Vierstufigkeit (about – use – with – beyond AI) bildet eine intuitive Progression vom Wissen zum Transfer. Die nationale Plattform SLS garantiert Gleichheit im Zugang.</w:t>
      </w:r>
    </w:p>
    <w:p w14:paraId="1ED013C6" w14:textId="77777777" w:rsidR="00C71243" w:rsidRDefault="00000000">
      <w:pPr>
        <w:spacing w:after="100"/>
      </w:pPr>
      <w:r>
        <w:rPr>
          <w:b/>
          <w:bCs/>
          <w:color w:val="1B3A5C"/>
        </w:rPr>
        <w:t xml:space="preserve">Zentrale Leerstelle: </w:t>
      </w:r>
      <w:r>
        <w:t>Der Ansatz ist an ein zentralisiertes, kulturell homogenes Bildungssystem gebunden. Für föderale Systeme wie Deutschland (16 Bildungspläne, keine nationale Lernplattform, heterogene Ausstattung) ist er nicht direkt übertragbar. Außerdem fehlt eine explizite fach-didaktische Differenzierung: Wie sich KI im Mathematikunterricht von KI im Sprachunterricht unterscheidet, wird nicht adressiert.</w:t>
      </w:r>
    </w:p>
    <w:p w14:paraId="2F934FC6" w14:textId="77777777" w:rsidR="00C71243" w:rsidRDefault="00000000">
      <w:pPr>
        <w:spacing w:after="100"/>
      </w:pPr>
      <w:r>
        <w:rPr>
          <w:b/>
          <w:bCs/>
          <w:color w:val="1B3A5C"/>
        </w:rPr>
        <w:t xml:space="preserve">Konsequenz für die Fortbildung: </w:t>
      </w:r>
      <w:r>
        <w:t>Die Vierstufigkeit als didaktische Dramaturgie übernehmen; das Pädagogik-first-Prinzip als Leitmotiv. Aber: Fachspezifik selbst entwickeln.</w:t>
      </w:r>
    </w:p>
    <w:p w14:paraId="4168254A" w14:textId="77777777" w:rsidR="00C71243" w:rsidRDefault="00000000">
      <w:pPr>
        <w:pStyle w:val="Heading2"/>
      </w:pPr>
      <w:r>
        <w:t>2.3  UNESCO AI CFT</w:t>
      </w:r>
    </w:p>
    <w:p w14:paraId="536B50DD" w14:textId="77777777" w:rsidR="00C71243" w:rsidRDefault="00000000">
      <w:pPr>
        <w:spacing w:after="100"/>
      </w:pPr>
      <w:r>
        <w:rPr>
          <w:b/>
          <w:bCs/>
          <w:color w:val="1B3A5C"/>
        </w:rPr>
        <w:t xml:space="preserve">Alleinstellungsmerkmal: </w:t>
      </w:r>
      <w:r>
        <w:t>Das einzige Framework, das explizit die Lehrkraft ins Zentrum stellt – nicht die Schüler:innen. Die drei Progressionsstufen (Acquire – Deepen – Create) modellieren einen realistischen Lernweg für Lehrkräfte: von der Erstbegegnung über die Erprobung zur eigenständigen Gestaltung. Die Dimension „Human-centred mindset“ formuliert als einziges Framework explizit die Haltungsfrage: Was soll KI in meinem Unterricht – und was nicht?</w:t>
      </w:r>
    </w:p>
    <w:p w14:paraId="570A04FA" w14:textId="77777777" w:rsidR="00C71243" w:rsidRDefault="00000000">
      <w:pPr>
        <w:spacing w:after="100"/>
      </w:pPr>
      <w:r>
        <w:rPr>
          <w:b/>
          <w:bCs/>
          <w:color w:val="1B3A5C"/>
        </w:rPr>
        <w:t xml:space="preserve">Zentrale Leerstelle: </w:t>
      </w:r>
      <w:r>
        <w:t>Die 15 Kompetenzen sind abstrakt formuliert und nicht an Unterrichtsszenarien gebunden. Die Progression ist linear gedacht (Acquire → Deepen → Create), obwohl reale Lehrkräfteentwicklung nicht-linear verläuft. GenAI-spezifische Kompetenzen (Prompt Engineering, Halluzinationserkennung, KI-gestützte Bewertung) werden kaum adressiert.</w:t>
      </w:r>
    </w:p>
    <w:p w14:paraId="366DCABB" w14:textId="77777777" w:rsidR="00C71243" w:rsidRDefault="00000000">
      <w:pPr>
        <w:spacing w:after="100"/>
      </w:pPr>
      <w:r>
        <w:rPr>
          <w:b/>
          <w:bCs/>
          <w:color w:val="1B3A5C"/>
        </w:rPr>
        <w:t xml:space="preserve">Konsequenz für die Fortbildung: </w:t>
      </w:r>
      <w:r>
        <w:t>Die Progressionsstufen definieren das Ambitionsniveau der Fortbildung; die Haltungsfrage eröffnet die Reflexionsphasen. Aber: GenAI-spezifische Kompetenzen müssen ergänzt werden.</w:t>
      </w:r>
    </w:p>
    <w:p w14:paraId="2D072E98" w14:textId="77777777" w:rsidR="00C71243" w:rsidRDefault="00000000">
      <w:pPr>
        <w:pStyle w:val="Heading2"/>
      </w:pPr>
      <w:r>
        <w:t>2.4  Australien</w:t>
      </w:r>
    </w:p>
    <w:p w14:paraId="07933BB6" w14:textId="77777777" w:rsidR="00C71243" w:rsidRDefault="00000000">
      <w:pPr>
        <w:spacing w:after="100"/>
      </w:pPr>
      <w:r>
        <w:rPr>
          <w:b/>
          <w:bCs/>
          <w:color w:val="1B3A5C"/>
        </w:rPr>
        <w:t xml:space="preserve">Alleinstellungsmerkmal: </w:t>
      </w:r>
      <w:r>
        <w:t>Das einzige Framework mit einer Governance-Perspektive: Nicht nur einzelne Lehrkräfte sollen kompetent werden, sondern Schulen als Institutionen brauchen Regeln, Transparenz und Accountability. Die jährliche Review stellt sicher, dass das Framework mit der Technologieentwicklung Schritt hält. Die Anbindung an das Australian Curriculum v9.0 (mit optionalen KI-Elaborations) zeigt, wie curriculare Integration aussehen kann.</w:t>
      </w:r>
    </w:p>
    <w:p w14:paraId="36667B53" w14:textId="77777777" w:rsidR="00C71243" w:rsidRDefault="00000000">
      <w:pPr>
        <w:spacing w:after="100"/>
      </w:pPr>
      <w:r>
        <w:rPr>
          <w:b/>
          <w:bCs/>
          <w:color w:val="1B3A5C"/>
        </w:rPr>
        <w:lastRenderedPageBreak/>
        <w:t xml:space="preserve">Zentrale Leerstelle: </w:t>
      </w:r>
      <w:r>
        <w:t>Es fehlt ein eigenständiges Kompetenzmodell für SuS oder Lehrkräfte. Der Fokus liegt auf Generative AI, nicht auf dem breiteren ML-Feld. Konkrete Unterrichtsdidaktik wird nicht adressiert; das Framework spricht eher Schulleitungen und Politik an als Fachlehrkräfte.</w:t>
      </w:r>
    </w:p>
    <w:p w14:paraId="14960090" w14:textId="77777777" w:rsidR="00C71243" w:rsidRDefault="00000000">
      <w:pPr>
        <w:spacing w:after="100"/>
      </w:pPr>
      <w:r>
        <w:rPr>
          <w:b/>
          <w:bCs/>
          <w:color w:val="1B3A5C"/>
        </w:rPr>
        <w:t xml:space="preserve">Konsequenz für die Fortbildung: </w:t>
      </w:r>
      <w:r>
        <w:t>Die Governance-Perspektive liefert die Grundlage für die KI-Charta-Aktivität und das Thema institutionelle Verankerung.</w:t>
      </w:r>
    </w:p>
    <w:p w14:paraId="59A04CE2" w14:textId="77777777" w:rsidR="00C71243" w:rsidRDefault="00000000">
      <w:pPr>
        <w:pStyle w:val="Heading2"/>
      </w:pPr>
      <w:r>
        <w:t>2.5  UNESCO / Afrika-Kontext</w:t>
      </w:r>
    </w:p>
    <w:p w14:paraId="75B25942" w14:textId="77777777" w:rsidR="00C71243" w:rsidRDefault="00000000">
      <w:pPr>
        <w:spacing w:after="100"/>
      </w:pPr>
      <w:r>
        <w:rPr>
          <w:b/>
          <w:bCs/>
          <w:color w:val="1B3A5C"/>
        </w:rPr>
        <w:t xml:space="preserve">Alleinstellungsmerkmal: </w:t>
      </w:r>
      <w:r>
        <w:t>Die einzige Perspektive, die Bias nicht nur als technisches Problem (verzerrte Trainingsdaten), sondern als kulturelles und epistemisches Problem versteht. Die Diagnose „multilingual but monocultural“ ist für den Fremdsprachen- und Kunstunterricht unmittelbar anschlussfähig: Wessen Sprache, wessen Ästhetik, wessen Wissen wird in KI-Systemen repräsentiert?</w:t>
      </w:r>
    </w:p>
    <w:p w14:paraId="56172D0A" w14:textId="77777777" w:rsidR="00C71243" w:rsidRDefault="00000000">
      <w:pPr>
        <w:spacing w:after="100"/>
      </w:pPr>
      <w:r>
        <w:rPr>
          <w:b/>
          <w:bCs/>
          <w:color w:val="1B3A5C"/>
        </w:rPr>
        <w:t xml:space="preserve">Zentrale Leerstelle: </w:t>
      </w:r>
      <w:r>
        <w:t>Es handelt sich um eine diagnostische, nicht konstruktive Perspektive: Die Probleme werden präzise benannt, aber es gibt kein operationalisierbares Kompetenzmodell und kaum konkrete Unterrichtsvorschläge. Die Dokumente sind nicht als Framework, sondern als Problemdiagnose und politische Forderung angelegt.</w:t>
      </w:r>
    </w:p>
    <w:p w14:paraId="5227C068" w14:textId="77777777" w:rsidR="00C71243" w:rsidRDefault="00000000">
      <w:pPr>
        <w:spacing w:after="100"/>
      </w:pPr>
      <w:r>
        <w:rPr>
          <w:b/>
          <w:bCs/>
          <w:color w:val="1B3A5C"/>
        </w:rPr>
        <w:t xml:space="preserve">Konsequenz für die Fortbildung: </w:t>
      </w:r>
      <w:r>
        <w:t>Diese Perspektive liefert den kritischen Stachel – sie schärft die Bias-Szenarien und verhindert, dass Fairness-Fragen nur oberflächlich behandelt werden. Aber: Sie muss in Szenarien übersetzt werden, die Lehrkräfte direkt einsetzen können.</w:t>
      </w:r>
    </w:p>
    <w:p w14:paraId="5A0D4593" w14:textId="77777777" w:rsidR="00C71243" w:rsidRDefault="00000000">
      <w:pPr>
        <w:pStyle w:val="Heading2"/>
      </w:pPr>
      <w:r>
        <w:t>2.6  Code.org / TeachAI</w:t>
      </w:r>
    </w:p>
    <w:p w14:paraId="4A32F28A" w14:textId="77777777" w:rsidR="00C71243" w:rsidRDefault="00000000">
      <w:pPr>
        <w:spacing w:after="100"/>
      </w:pPr>
      <w:r>
        <w:rPr>
          <w:b/>
          <w:bCs/>
          <w:color w:val="1B3A5C"/>
        </w:rPr>
        <w:t xml:space="preserve">Alleinstellungsmerkmal: </w:t>
      </w:r>
      <w:r>
        <w:t>Der praxisnächste Ansatz. Fertige Unterrichtslektionen, erprobte Materialien, eine geschützte Erprobungsumgebung (AI Chat Lab), Professional-Learning-Module für Lehrkräfte. Die „Generative AI for Humanities“-Lektionen sind das einzige verfügbare Modell für fachintegrierte KI-Bildung in nicht-informatik-affinen Fächern. Die didaktische Logik (Exploration → Reflexion → eigene Leitlinien) ist unmittelbar übertragbar.</w:t>
      </w:r>
    </w:p>
    <w:p w14:paraId="1F8F85AE" w14:textId="77777777" w:rsidR="00C71243" w:rsidRDefault="00000000">
      <w:pPr>
        <w:spacing w:after="100"/>
      </w:pPr>
      <w:r>
        <w:rPr>
          <w:b/>
          <w:bCs/>
          <w:color w:val="1B3A5C"/>
        </w:rPr>
        <w:t xml:space="preserve">Zentrale Leerstelle: </w:t>
      </w:r>
      <w:r>
        <w:t>US-zentriert in kulturellen Annahmen und curricularer Verankerung. Die Humanities-Lektionen sind für ein amerikanisches Highschool-Setting konzipiert; die Übertragung auf deutsche Bildungspläne erfordert Anpassung. Außerdem fehlt eine Governance-Perspektive auf Systemebene.</w:t>
      </w:r>
    </w:p>
    <w:p w14:paraId="60082D1D" w14:textId="77777777" w:rsidR="00C71243" w:rsidRDefault="00000000">
      <w:pPr>
        <w:spacing w:after="100"/>
      </w:pPr>
      <w:r>
        <w:rPr>
          <w:b/>
          <w:bCs/>
          <w:color w:val="1B3A5C"/>
        </w:rPr>
        <w:t xml:space="preserve">Konsequenz für die Fortbildung: </w:t>
      </w:r>
      <w:r>
        <w:t>Methodische Vorbilder und Ablaufstrukturen übernehmen; inhaltlich an deutsche Kontexte und Fachdidaktiken anpassen.</w:t>
      </w:r>
    </w:p>
    <w:p w14:paraId="34B7A7A0" w14:textId="77777777" w:rsidR="00C71243" w:rsidRDefault="00000000">
      <w:r>
        <w:br w:type="page"/>
      </w:r>
    </w:p>
    <w:p w14:paraId="04A662CC" w14:textId="77777777" w:rsidR="00C71243" w:rsidRDefault="00000000">
      <w:pPr>
        <w:pStyle w:val="Heading1"/>
      </w:pPr>
      <w:r>
        <w:lastRenderedPageBreak/>
        <w:t>Teil 3: Synthese</w:t>
      </w:r>
    </w:p>
    <w:p w14:paraId="7E28CC06" w14:textId="77777777" w:rsidR="00C71243" w:rsidRDefault="00000000">
      <w:pPr>
        <w:pStyle w:val="Heading2"/>
      </w:pPr>
      <w:r>
        <w:t>3.1  Worin sich alle einig sind: Sechs gemeinsame Grundideen</w:t>
      </w:r>
    </w:p>
    <w:p w14:paraId="7E2810EA" w14:textId="77777777" w:rsidR="00C71243" w:rsidRDefault="00000000">
      <w:pPr>
        <w:spacing w:before="100" w:after="100"/>
      </w:pPr>
      <w:r>
        <w:t>Trotz unterschiedlicher Herkunft, Zielgruppe und Detailtiefe konvergieren alle sechs Ansätze in sechs Grundideen, die als internationaler Konsens 2025/2026 gelten können:</w:t>
      </w:r>
    </w:p>
    <w:p w14:paraId="621DE242" w14:textId="77777777" w:rsidR="00C71243" w:rsidRDefault="00000000">
      <w:pPr>
        <w:spacing w:before="140" w:after="40"/>
      </w:pPr>
      <w:r>
        <w:rPr>
          <w:b/>
          <w:bCs/>
          <w:color w:val="1B3A5C"/>
        </w:rPr>
        <w:t>1. AI Literacy ist keine Informatik-Kompetenz, sondern eine Querschnittskompetenz.</w:t>
      </w:r>
    </w:p>
    <w:p w14:paraId="2F7DE48E" w14:textId="77777777" w:rsidR="00C71243" w:rsidRDefault="00000000">
      <w:pPr>
        <w:spacing w:after="100"/>
      </w:pPr>
      <w:r>
        <w:t>Alle Frameworks betonen, dass KI-Bildung in alle Fächer gehört – nicht als Sonderthema, sondern als Dimension fachlichen Lernens. Das AILit Framework spricht von „interdisciplinary integration“, Code.org von „AI literacy belongs in every classroom“, Singapur integriert KI in die nationale Lernplattform aller Fächer.</w:t>
      </w:r>
    </w:p>
    <w:p w14:paraId="0BB5E89E" w14:textId="77777777" w:rsidR="00C71243" w:rsidRDefault="00000000">
      <w:pPr>
        <w:spacing w:before="140" w:after="40"/>
      </w:pPr>
      <w:r>
        <w:rPr>
          <w:b/>
          <w:bCs/>
          <w:color w:val="1B3A5C"/>
        </w:rPr>
        <w:t>2. Ethik ist kein Anhang, sondern durchzieht jede Kompetenz.</w:t>
      </w:r>
    </w:p>
    <w:p w14:paraId="5CA99E62" w14:textId="77777777" w:rsidR="00C71243" w:rsidRDefault="00000000">
      <w:pPr>
        <w:spacing w:after="100"/>
      </w:pPr>
      <w:r>
        <w:t>Keines der Frameworks behandelt Ethik als separates Modul. Das AILit Framework verankert ethische Reflexion in jeder Domäne; Singapur hat ein eigenes Ethics Framework „by Design“; Australien macht Accountability und Fairness zu Leitprinzipien; die UNESCO/Afrika-Perspektive zeigt, dass Bias eine Frage kultureller Repräsentation ist, nicht nur technischer Korrektur.</w:t>
      </w:r>
    </w:p>
    <w:p w14:paraId="722DFD26" w14:textId="77777777" w:rsidR="00C71243" w:rsidRDefault="00000000">
      <w:pPr>
        <w:spacing w:before="140" w:after="40"/>
      </w:pPr>
      <w:r>
        <w:rPr>
          <w:b/>
          <w:bCs/>
          <w:color w:val="1B3A5C"/>
        </w:rPr>
        <w:t>3. Die Lehrkraft bleibt zentrale Entscheidungsinstanz.</w:t>
      </w:r>
    </w:p>
    <w:p w14:paraId="69559C0E" w14:textId="77777777" w:rsidR="00C71243" w:rsidRDefault="00000000">
      <w:pPr>
        <w:spacing w:after="100"/>
      </w:pPr>
      <w:r>
        <w:t>UNESCO nennt es „human-accountable use of AI“; Singapur „pedagogy first“; Australien „teacher expertise central“. Der Konsens lautet: KI-Tools unterstützen Lehrkräfte, ersetzen sie aber nicht. Pädagogische Entscheidungen über Einsatz, Zeitpunkt und Grenzen von KI liegen bei der Lehrkraft.</w:t>
      </w:r>
    </w:p>
    <w:p w14:paraId="1450ABAA" w14:textId="77777777" w:rsidR="00C71243" w:rsidRDefault="00000000">
      <w:pPr>
        <w:spacing w:before="140" w:after="40"/>
      </w:pPr>
      <w:r>
        <w:rPr>
          <w:b/>
          <w:bCs/>
          <w:color w:val="1B3A5C"/>
        </w:rPr>
        <w:t>4. Die Progression führt von Verstehen über Anwenden zu kritischem Gestalten.</w:t>
      </w:r>
    </w:p>
    <w:p w14:paraId="75D665C8" w14:textId="77777777" w:rsidR="00C71243" w:rsidRDefault="00000000">
      <w:pPr>
        <w:spacing w:after="100"/>
      </w:pPr>
      <w:r>
        <w:t>Singapur: about → use → with → beyond. UNESCO: Acquire → Deepen → Create. AILit: Engage → Create → Manage → Design. Die Logik ist überall gleich: Erst verstehen, dann nutzen, dann kritisch bewerten, dann selbst gestalten. Reine Werkzeugschulung ist in keinem Framework das Ziel.</w:t>
      </w:r>
    </w:p>
    <w:p w14:paraId="3D0B9F5E" w14:textId="77777777" w:rsidR="00C71243" w:rsidRDefault="00000000">
      <w:pPr>
        <w:spacing w:before="140" w:after="40"/>
      </w:pPr>
      <w:r>
        <w:rPr>
          <w:b/>
          <w:bCs/>
          <w:color w:val="1B3A5C"/>
        </w:rPr>
        <w:t>5. Hands-on-Erfahrung ist unverzichtbar – aber nie Selbstzweck.</w:t>
      </w:r>
    </w:p>
    <w:p w14:paraId="01EDC0C7" w14:textId="77777777" w:rsidR="00C71243" w:rsidRDefault="00000000">
      <w:pPr>
        <w:spacing w:after="100"/>
      </w:pPr>
      <w:r>
        <w:t>Code.org setzt auf geleitete Exploration mit anschließender Reflexion. Singapur betont: kein Tool ohne pädagogische Begründung. Das AILit Framework fordert, dass Erfahrung in Wissen und Haltung mündet. Der Konsens: Ausprobieren ist notwendig, aber die Reflexion darüber ist der eigentliche Lernakt.</w:t>
      </w:r>
    </w:p>
    <w:p w14:paraId="19094DCA" w14:textId="77777777" w:rsidR="00C71243" w:rsidRDefault="00000000">
      <w:pPr>
        <w:spacing w:before="140" w:after="40"/>
      </w:pPr>
      <w:r>
        <w:rPr>
          <w:b/>
          <w:bCs/>
          <w:color w:val="1B3A5C"/>
        </w:rPr>
        <w:t>6. KI-Bildung braucht institutionelle Rahmung, nicht nur individuelle Kompetenz.</w:t>
      </w:r>
    </w:p>
    <w:p w14:paraId="14F9FA68" w14:textId="77777777" w:rsidR="00C71243" w:rsidRDefault="00000000">
      <w:pPr>
        <w:spacing w:after="100"/>
      </w:pPr>
      <w:r>
        <w:t>Australien macht dies am deutlichsten: Schulen brauchen Governance, Transparenzregeln und Datenschutzstandards. TeachAI fordert systemische Guidance auf Schulträgerebene. UNESCO betont, dass Lehrkräfte institutionelle Rückendeckung brauchen. Individuelle Fortbildung allein reicht nicht.</w:t>
      </w:r>
    </w:p>
    <w:p w14:paraId="55081EDA" w14:textId="77777777" w:rsidR="00C71243" w:rsidRDefault="00000000">
      <w:r>
        <w:br w:type="page"/>
      </w:r>
    </w:p>
    <w:p w14:paraId="33947E71" w14:textId="77777777" w:rsidR="00C71243" w:rsidRDefault="00000000">
      <w:pPr>
        <w:pStyle w:val="Heading2"/>
      </w:pPr>
      <w:r>
        <w:lastRenderedPageBreak/>
        <w:t>3.2  Best Practice 2026: Wie eine Implementierung aussehen sollte</w:t>
      </w:r>
    </w:p>
    <w:p w14:paraId="62C38872" w14:textId="77777777" w:rsidR="00C71243" w:rsidRDefault="00000000">
      <w:pPr>
        <w:spacing w:before="100" w:after="100"/>
      </w:pPr>
      <w:r>
        <w:t>Aus der Synthese der sechs Ansätze lässt sich ein Referenzmodell ableiten, das die Stärken kombiniert und die Leerstellen gegenseitig kompensiert. Es besteht aus drei Ebenen:</w:t>
      </w:r>
    </w:p>
    <w:tbl>
      <w:tblPr>
        <w:tblW w:w="15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11"/>
      </w:tblGrid>
      <w:tr w:rsidR="00C71243" w14:paraId="65EA349E" w14:textId="77777777" w:rsidTr="00704212">
        <w:tc>
          <w:tcPr>
            <w:tcW w:w="15011" w:type="dxa"/>
            <w:tcBorders>
              <w:left w:val="single" w:sz="12" w:space="0" w:color="1B3A5C"/>
            </w:tcBorders>
            <w:shd w:val="clear" w:color="auto" w:fill="F2F2F2"/>
            <w:tcMar>
              <w:top w:w="100" w:type="dxa"/>
              <w:left w:w="200" w:type="dxa"/>
              <w:bottom w:w="100" w:type="dxa"/>
              <w:right w:w="200" w:type="dxa"/>
            </w:tcMar>
          </w:tcPr>
          <w:p w14:paraId="02565DA0" w14:textId="77777777" w:rsidR="00C71243" w:rsidRDefault="00000000">
            <w:pPr>
              <w:spacing w:after="60"/>
            </w:pPr>
            <w:r>
              <w:rPr>
                <w:b/>
                <w:bCs/>
                <w:color w:val="1B3A5C"/>
                <w:sz w:val="19"/>
                <w:szCs w:val="19"/>
              </w:rPr>
              <w:t>Ebene 1: Kompetenzrahmen – Was sollen Lernende können?</w:t>
            </w:r>
          </w:p>
          <w:p w14:paraId="46527F4B" w14:textId="77777777" w:rsidR="00C71243" w:rsidRDefault="00000000">
            <w:r>
              <w:rPr>
                <w:sz w:val="19"/>
                <w:szCs w:val="19"/>
              </w:rPr>
              <w:t>Leitstruktur: Die vier AILit-Domänen (Engage – Create – Manage – Design) als Zielkategorien, ergänzt um die UNESCO-Progressionsstufen (Acquire – Deepen – Create) als Entwicklungslogik. Ethische Reflexion ist in jeder Domäne verankert, nicht als separates Modul. Die epistemische Gerechtigkeitsperspektive (UNESCO/Afrika) schärft die Manage-Domäne: Bias-Erkennung umfasst nicht nur statistische Verzerrung, sondern kulturelle Repräsentation.</w:t>
            </w:r>
          </w:p>
        </w:tc>
      </w:tr>
      <w:tr w:rsidR="00C71243" w14:paraId="06F1ABAA" w14:textId="77777777" w:rsidTr="00704212">
        <w:tc>
          <w:tcPr>
            <w:tcW w:w="15011" w:type="dxa"/>
            <w:tcBorders>
              <w:left w:val="single" w:sz="12" w:space="0" w:color="2E75B6"/>
            </w:tcBorders>
            <w:shd w:val="clear" w:color="auto" w:fill="F2F2F2"/>
            <w:tcMar>
              <w:top w:w="100" w:type="dxa"/>
              <w:left w:w="200" w:type="dxa"/>
              <w:bottom w:w="100" w:type="dxa"/>
              <w:right w:w="200" w:type="dxa"/>
            </w:tcMar>
          </w:tcPr>
          <w:p w14:paraId="64F1701B" w14:textId="77777777" w:rsidR="00C71243" w:rsidRDefault="00000000">
            <w:pPr>
              <w:spacing w:after="60"/>
            </w:pPr>
            <w:r>
              <w:rPr>
                <w:b/>
                <w:bCs/>
                <w:color w:val="2E75B6"/>
                <w:sz w:val="19"/>
                <w:szCs w:val="19"/>
              </w:rPr>
              <w:t>Ebene 2: Pädagogische Prinzipien – Wie soll unterrichtet werden?</w:t>
            </w:r>
          </w:p>
          <w:p w14:paraId="1D66AC6E" w14:textId="77777777" w:rsidR="00C71243" w:rsidRDefault="00000000">
            <w:r>
              <w:rPr>
                <w:sz w:val="19"/>
                <w:szCs w:val="19"/>
              </w:rPr>
              <w:t>(1) Pädagogik vor Technologie (Singapur): Kein Tool ohne fachdidaktische Frage. (2) Fachintegration statt Sonderthema (AILit/Code.org): KI wird im Fachunterricht verankert, nicht in Sonderstunden. (3) Exploration → Reflexion → Agency (Code.org): SuS erproben KI, analysieren die Ergebnisse, entwickeln eigene Haltung und Leitlinien. (4) Lehrkraft als Entscheidungsinstanz (UNESCO): Die Lehrkraft entscheidet über Einsatz und Grenzen. (5) Kulturelle Passung prüfen (UNESCO/Afrika): Jedes KI-Tool, jeder KI-Output wird auf kulturelle Annahmen und Repräsentationslücken hin befragt.</w:t>
            </w:r>
          </w:p>
        </w:tc>
      </w:tr>
      <w:tr w:rsidR="00C71243" w14:paraId="5E0A0565" w14:textId="77777777" w:rsidTr="00704212">
        <w:tc>
          <w:tcPr>
            <w:tcW w:w="15011" w:type="dxa"/>
            <w:tcBorders>
              <w:left w:val="single" w:sz="12" w:space="0" w:color="4A8C5C"/>
            </w:tcBorders>
            <w:shd w:val="clear" w:color="auto" w:fill="F2F2F2"/>
            <w:tcMar>
              <w:top w:w="100" w:type="dxa"/>
              <w:left w:w="200" w:type="dxa"/>
              <w:bottom w:w="100" w:type="dxa"/>
              <w:right w:w="200" w:type="dxa"/>
            </w:tcMar>
          </w:tcPr>
          <w:p w14:paraId="005358FA" w14:textId="77777777" w:rsidR="00C71243" w:rsidRDefault="00000000">
            <w:pPr>
              <w:spacing w:after="60"/>
            </w:pPr>
            <w:r>
              <w:rPr>
                <w:b/>
                <w:bCs/>
                <w:color w:val="4A8C5C"/>
                <w:sz w:val="19"/>
                <w:szCs w:val="19"/>
              </w:rPr>
              <w:t>Ebene 3: Institutionelle Verankerung – Wie wird es nachhaltig?</w:t>
            </w:r>
          </w:p>
          <w:p w14:paraId="1889157C" w14:textId="77777777" w:rsidR="00C71243" w:rsidRDefault="00000000">
            <w:r>
              <w:rPr>
                <w:sz w:val="19"/>
                <w:szCs w:val="19"/>
              </w:rPr>
              <w:t>(1) Schulweite KI-Governance (Australien): Transparente Regeln für KI-Nutzung, Datenschutz, Leistungsbeurteilung. (2) Systemische Guidance (TeachAI): Schulträger und Fachschaften formulieren verbindliche Leitlinien, nicht nur einzelne Lehrkräfte. (3) Jährliche Überprüfung (Australien): KI-Regelungen werden regelmäßig an die Technologieentwicklung angepasst. (4) Fortbildung als Progression, nicht als Einmalevent (UNESCO): Lehrkräfte durchlaufen eine Entwicklung von Acquire über Deepen zu Create – eine zweitägige Fortbildung ist Startpunkt, nicht Endpunkt.</w:t>
            </w:r>
          </w:p>
        </w:tc>
      </w:tr>
    </w:tbl>
    <w:p w14:paraId="417DE99C" w14:textId="77777777" w:rsidR="00C71243" w:rsidRDefault="00C71243">
      <w:pPr>
        <w:spacing w:before="30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80"/>
      </w:tblGrid>
      <w:tr w:rsidR="00C71243" w14:paraId="7CD481B6" w14:textId="77777777">
        <w:tc>
          <w:tcPr>
            <w:tcW w:w="0" w:type="auto"/>
            <w:tcBorders>
              <w:left w:val="single" w:sz="12" w:space="0" w:color="1B3A5C"/>
            </w:tcBorders>
            <w:shd w:val="clear" w:color="auto" w:fill="F2F2F2"/>
            <w:tcMar>
              <w:top w:w="100" w:type="dxa"/>
              <w:left w:w="200" w:type="dxa"/>
              <w:bottom w:w="100" w:type="dxa"/>
              <w:right w:w="200" w:type="dxa"/>
            </w:tcMar>
          </w:tcPr>
          <w:p w14:paraId="1677E3A3" w14:textId="77777777" w:rsidR="00C71243" w:rsidRDefault="00000000">
            <w:pPr>
              <w:spacing w:after="60"/>
            </w:pPr>
            <w:r>
              <w:rPr>
                <w:b/>
                <w:bCs/>
                <w:color w:val="1B3A5C"/>
                <w:sz w:val="19"/>
                <w:szCs w:val="19"/>
              </w:rPr>
              <w:t>Zusammenfassung in einem Satz</w:t>
            </w:r>
          </w:p>
          <w:p w14:paraId="10648F27" w14:textId="77777777" w:rsidR="00C71243" w:rsidRDefault="00000000">
            <w:r>
              <w:rPr>
                <w:sz w:val="19"/>
                <w:szCs w:val="19"/>
              </w:rPr>
              <w:t>Best-Practice-KI-Bildung 2026 ist fachintegriert (nicht informatik-zentriert), progressiv (vom Verstehen zum Gestalten), ethisch durchdrungen (nicht als Anhang), institutionell verankert (nicht nur individuell) und kulturell reflektiert (nicht nur technisch).</w:t>
            </w:r>
          </w:p>
        </w:tc>
      </w:tr>
    </w:tbl>
    <w:p w14:paraId="7F812C4F" w14:textId="77777777" w:rsidR="00C71243" w:rsidRDefault="00000000">
      <w:pPr>
        <w:pStyle w:val="Heading2"/>
        <w:spacing w:before="300"/>
      </w:pPr>
      <w:r>
        <w:t>3.3  Was das für unsere Fortbildung bedeutet</w:t>
      </w:r>
    </w:p>
    <w:p w14:paraId="198DC305" w14:textId="77777777" w:rsidR="00C71243" w:rsidRDefault="00000000">
      <w:pPr>
        <w:spacing w:after="100"/>
      </w:pPr>
      <w:r>
        <w:t>Die Fortbildung, die wir konzipieren, hat damit eine klare internationale Rahmung:</w:t>
      </w:r>
    </w:p>
    <w:p w14:paraId="6E7F5514" w14:textId="77777777" w:rsidR="00C71243" w:rsidRDefault="00000000">
      <w:pPr>
        <w:spacing w:after="100"/>
      </w:pPr>
      <w:r>
        <w:rPr>
          <w:b/>
          <w:bCs/>
          <w:color w:val="1B3A5C"/>
        </w:rPr>
        <w:t xml:space="preserve">Kompetenzstruktur: </w:t>
      </w:r>
      <w:r>
        <w:t>AILit-Domänen als Zuordnungsraster für Szenarien.</w:t>
      </w:r>
    </w:p>
    <w:p w14:paraId="25EFDE4C" w14:textId="77777777" w:rsidR="00C71243" w:rsidRDefault="00000000">
      <w:pPr>
        <w:spacing w:after="100"/>
      </w:pPr>
      <w:r>
        <w:rPr>
          <w:b/>
          <w:bCs/>
          <w:color w:val="1B3A5C"/>
        </w:rPr>
        <w:t xml:space="preserve">Progressionslogik: </w:t>
      </w:r>
      <w:r>
        <w:t>UNESCO Acquire → Deepen → Create als Dramaturgie über zwei Tage.</w:t>
      </w:r>
    </w:p>
    <w:p w14:paraId="7E2FD103" w14:textId="77777777" w:rsidR="00C71243" w:rsidRDefault="00000000">
      <w:pPr>
        <w:spacing w:after="100"/>
      </w:pPr>
      <w:r>
        <w:rPr>
          <w:b/>
          <w:bCs/>
          <w:color w:val="1B3A5C"/>
        </w:rPr>
        <w:t xml:space="preserve">Pädagogisches Leitmotiv: </w:t>
      </w:r>
      <w:r>
        <w:t>Singapurs „Pädagogik zuerst“, operationalisiert durch Code.orgs „Exploration → Reflexion → Agency“.</w:t>
      </w:r>
    </w:p>
    <w:p w14:paraId="0B726444" w14:textId="77777777" w:rsidR="00C71243" w:rsidRDefault="00000000">
      <w:pPr>
        <w:spacing w:after="100"/>
      </w:pPr>
      <w:r>
        <w:rPr>
          <w:b/>
          <w:bCs/>
          <w:color w:val="1B3A5C"/>
        </w:rPr>
        <w:t xml:space="preserve">Kritische Tiefe: </w:t>
      </w:r>
      <w:r>
        <w:t>UNESCO/Afrika-Perspektive in den Bias- und Sprach-Szenarien.</w:t>
      </w:r>
    </w:p>
    <w:p w14:paraId="3E7D4810" w14:textId="77777777" w:rsidR="00C71243" w:rsidRDefault="00000000">
      <w:pPr>
        <w:spacing w:after="100"/>
      </w:pPr>
      <w:r>
        <w:rPr>
          <w:b/>
          <w:bCs/>
          <w:color w:val="1B3A5C"/>
        </w:rPr>
        <w:t xml:space="preserve">Nachhaltigkeitsperspektive: </w:t>
      </w:r>
      <w:r>
        <w:t>Australische Governance-Prinzipien in der KI-Charta-Aktivität.</w:t>
      </w:r>
    </w:p>
    <w:p w14:paraId="674272F7" w14:textId="77777777" w:rsidR="00C71243" w:rsidRDefault="00000000">
      <w:pPr>
        <w:spacing w:after="100"/>
      </w:pPr>
      <w:r>
        <w:t>Kein einzelnes Framework reicht allein aus. Aber zusammen ergeben sie ein schlüssiges Fundament, auf dem wir fachspezifische Szenarien bauen können – für Deutsch, Fremdsprachen und Kunst.</w:t>
      </w:r>
    </w:p>
    <w:sectPr w:rsidR="00C71243" w:rsidSect="002803A9">
      <w:headerReference w:type="default" r:id="rId7"/>
      <w:footerReference w:type="default" r:id="rId8"/>
      <w:pgSz w:w="16838" w:h="11906"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06D18" w14:textId="77777777" w:rsidR="001E1D57" w:rsidRDefault="001E1D57">
      <w:r>
        <w:separator/>
      </w:r>
    </w:p>
  </w:endnote>
  <w:endnote w:type="continuationSeparator" w:id="0">
    <w:p w14:paraId="5A4BE7A8" w14:textId="77777777" w:rsidR="001E1D57" w:rsidRDefault="001E1D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E1281" w14:textId="77777777" w:rsidR="00C71243" w:rsidRDefault="00000000">
    <w:pPr>
      <w:jc w:val="center"/>
    </w:pPr>
    <w:r>
      <w:rPr>
        <w:color w:val="888888"/>
        <w:sz w:val="16"/>
        <w:szCs w:val="16"/>
      </w:rPr>
      <w:t xml:space="preserve">Seite </w:t>
    </w:r>
    <w:r>
      <w:rPr>
        <w:color w:val="888888"/>
        <w:sz w:val="16"/>
        <w:szCs w:val="16"/>
      </w:rPr>
      <w:fldChar w:fldCharType="begin"/>
    </w:r>
    <w:r>
      <w:rPr>
        <w:color w:val="888888"/>
        <w:sz w:val="16"/>
        <w:szCs w:val="16"/>
      </w:rPr>
      <w:instrText>PAGE</w:instrText>
    </w:r>
    <w:r>
      <w:rPr>
        <w:color w:val="888888"/>
        <w:sz w:val="16"/>
        <w:szCs w:val="16"/>
      </w:rPr>
      <w:fldChar w:fldCharType="separate"/>
    </w:r>
    <w:r w:rsidR="002803A9">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3BA10" w14:textId="77777777" w:rsidR="001E1D57" w:rsidRDefault="001E1D57">
      <w:r>
        <w:separator/>
      </w:r>
    </w:p>
  </w:footnote>
  <w:footnote w:type="continuationSeparator" w:id="0">
    <w:p w14:paraId="125D1A5A" w14:textId="77777777" w:rsidR="001E1D57" w:rsidRDefault="001E1D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5AAA1" w14:textId="77777777" w:rsidR="00C71243" w:rsidRDefault="00000000">
    <w:pPr>
      <w:pBdr>
        <w:bottom w:val="single" w:sz="2" w:space="4" w:color="2E75B6"/>
      </w:pBdr>
      <w:jc w:val="right"/>
    </w:pPr>
    <w:r>
      <w:rPr>
        <w:i/>
        <w:iCs/>
        <w:color w:val="2E75B6"/>
        <w:sz w:val="16"/>
        <w:szCs w:val="16"/>
      </w:rPr>
      <w:t>Internationale Rahmung – AI Literacy im Vergleich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15738D"/>
    <w:multiLevelType w:val="hybridMultilevel"/>
    <w:tmpl w:val="4C748BBE"/>
    <w:lvl w:ilvl="0" w:tplc="89502B1A">
      <w:start w:val="1"/>
      <w:numFmt w:val="bullet"/>
      <w:lvlText w:val="●"/>
      <w:lvlJc w:val="left"/>
      <w:pPr>
        <w:ind w:left="720" w:hanging="360"/>
      </w:pPr>
    </w:lvl>
    <w:lvl w:ilvl="1" w:tplc="E2CAF2EC">
      <w:start w:val="1"/>
      <w:numFmt w:val="bullet"/>
      <w:lvlText w:val="○"/>
      <w:lvlJc w:val="left"/>
      <w:pPr>
        <w:ind w:left="1440" w:hanging="360"/>
      </w:pPr>
    </w:lvl>
    <w:lvl w:ilvl="2" w:tplc="F3828356">
      <w:start w:val="1"/>
      <w:numFmt w:val="bullet"/>
      <w:lvlText w:val="■"/>
      <w:lvlJc w:val="left"/>
      <w:pPr>
        <w:ind w:left="2160" w:hanging="360"/>
      </w:pPr>
    </w:lvl>
    <w:lvl w:ilvl="3" w:tplc="ED4C1AD6">
      <w:start w:val="1"/>
      <w:numFmt w:val="bullet"/>
      <w:lvlText w:val="●"/>
      <w:lvlJc w:val="left"/>
      <w:pPr>
        <w:ind w:left="2880" w:hanging="360"/>
      </w:pPr>
    </w:lvl>
    <w:lvl w:ilvl="4" w:tplc="D13EB25A">
      <w:start w:val="1"/>
      <w:numFmt w:val="bullet"/>
      <w:lvlText w:val="○"/>
      <w:lvlJc w:val="left"/>
      <w:pPr>
        <w:ind w:left="3600" w:hanging="360"/>
      </w:pPr>
    </w:lvl>
    <w:lvl w:ilvl="5" w:tplc="935254A0">
      <w:start w:val="1"/>
      <w:numFmt w:val="bullet"/>
      <w:lvlText w:val="■"/>
      <w:lvlJc w:val="left"/>
      <w:pPr>
        <w:ind w:left="4320" w:hanging="360"/>
      </w:pPr>
    </w:lvl>
    <w:lvl w:ilvl="6" w:tplc="0E36944E">
      <w:start w:val="1"/>
      <w:numFmt w:val="bullet"/>
      <w:lvlText w:val="●"/>
      <w:lvlJc w:val="left"/>
      <w:pPr>
        <w:ind w:left="5040" w:hanging="360"/>
      </w:pPr>
    </w:lvl>
    <w:lvl w:ilvl="7" w:tplc="F79807E6">
      <w:start w:val="1"/>
      <w:numFmt w:val="bullet"/>
      <w:lvlText w:val="●"/>
      <w:lvlJc w:val="left"/>
      <w:pPr>
        <w:ind w:left="5760" w:hanging="360"/>
      </w:pPr>
    </w:lvl>
    <w:lvl w:ilvl="8" w:tplc="439E9A9E">
      <w:start w:val="1"/>
      <w:numFmt w:val="bullet"/>
      <w:lvlText w:val="●"/>
      <w:lvlJc w:val="left"/>
      <w:pPr>
        <w:ind w:left="6480" w:hanging="360"/>
      </w:pPr>
    </w:lvl>
  </w:abstractNum>
  <w:num w:numId="1" w16cid:durableId="5578576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243"/>
    <w:rsid w:val="000B1210"/>
    <w:rsid w:val="001E1D57"/>
    <w:rsid w:val="002803A9"/>
    <w:rsid w:val="00466270"/>
    <w:rsid w:val="006549B8"/>
    <w:rsid w:val="006D1320"/>
    <w:rsid w:val="006F1878"/>
    <w:rsid w:val="00704212"/>
    <w:rsid w:val="00711C3C"/>
    <w:rsid w:val="007526B8"/>
    <w:rsid w:val="009B4CC5"/>
    <w:rsid w:val="00B66C3F"/>
    <w:rsid w:val="00B8540C"/>
    <w:rsid w:val="00C71243"/>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2A34648E"/>
  <w15:docId w15:val="{9991B7B7-EE75-7248-A2C0-C4FEE0BB1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0"/>
      <w:szCs w:val="30"/>
    </w:rPr>
  </w:style>
  <w:style w:type="paragraph" w:styleId="Heading2">
    <w:name w:val="heading 2"/>
    <w:uiPriority w:val="9"/>
    <w:unhideWhenUsed/>
    <w:qFormat/>
    <w:pPr>
      <w:spacing w:before="280" w:after="14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7</Pages>
  <Words>2069</Words>
  <Characters>15443</Characters>
  <Application>Microsoft Office Word</Application>
  <DocSecurity>0</DocSecurity>
  <Lines>409</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4</cp:revision>
  <dcterms:created xsi:type="dcterms:W3CDTF">2026-03-17T07:15:00Z</dcterms:created>
  <dcterms:modified xsi:type="dcterms:W3CDTF">2026-03-18T13:23:00Z</dcterms:modified>
</cp:coreProperties>
</file>