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5.jpg" ContentType="image/jpeg"/>
  <Override PartName="/word/media/rId22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конкуренции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двух случаев.</w:t>
      </w:r>
    </w:p>
    <w:bookmarkEnd w:id="21"/>
    <w:bookmarkStart w:id="26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Математическая модель оборотных средств 2 фирм описывается следующим уравнением:</w:t>
      </w:r>
    </w:p>
    <w:p>
      <w:pPr>
        <w:pStyle w:val="CaptionedFigure"/>
      </w:pPr>
      <w:bookmarkStart w:id="25" w:name="fig:005"/>
      <w:r>
        <w:drawing>
          <wp:inline>
            <wp:extent cx="3429000" cy="1447800"/>
            <wp:effectExtent b="0" l="0" r="0" t="0"/>
            <wp:docPr descr="Код 1" title="" id="23" name="Picture"/>
            <a:graphic>
              <a:graphicData uri="http://schemas.openxmlformats.org/drawingml/2006/picture">
                <pic:pic>
                  <pic:nvPicPr>
                    <pic:cNvPr descr="image/eq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1</w:t>
      </w:r>
    </w:p>
    <w:p>
      <w:pPr>
        <w:pStyle w:val="BodyText"/>
      </w:pPr>
      <w:r>
        <w:t xml:space="preserve">Индексы 1 и 2 относятся к первой и второй</w:t>
      </w:r>
      <w:r>
        <w:t xml:space="preserve"> </w:t>
      </w:r>
      <w:r>
        <w:t xml:space="preserve">фирме, соответственно. Величины N1 и N2 – числа потребителей, приобретших</w:t>
      </w:r>
      <w:r>
        <w:t xml:space="preserve"> </w:t>
      </w:r>
      <w:r>
        <w:t xml:space="preserve">товар первой и второй фирмы.</w:t>
      </w:r>
    </w:p>
    <w:bookmarkEnd w:id="26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При выполнении я использовал общий шаблон кода, в котором изменял лишь функции, которые отличают частные случаи от общей модели.</w:t>
      </w:r>
    </w:p>
    <w:p>
      <w:pPr>
        <w:pStyle w:val="BodyText"/>
      </w:pPr>
      <w:r>
        <w:t xml:space="preserve">Код 1 случая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30" w:name="fig:001"/>
      <w:r>
        <w:drawing>
          <wp:inline>
            <wp:extent cx="5334000" cy="3758629"/>
            <wp:effectExtent b="0" l="0" r="0" t="0"/>
            <wp:docPr descr="Код 1" title="" id="28" name="Picture"/>
            <a:graphic>
              <a:graphicData uri="http://schemas.openxmlformats.org/drawingml/2006/picture">
                <pic:pic>
                  <pic:nvPicPr>
                    <pic:cNvPr descr="image/code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Код 1</w:t>
      </w:r>
    </w:p>
    <w:p>
      <w:pPr>
        <w:pStyle w:val="BodyText"/>
      </w:pPr>
      <w:r>
        <w:t xml:space="preserve">График симуляции 1 случая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4" w:name="fig:002"/>
      <w:r>
        <w:drawing>
          <wp:inline>
            <wp:extent cx="5334000" cy="2546487"/>
            <wp:effectExtent b="0" l="0" r="0" t="0"/>
            <wp:docPr descr="График 1" title="" id="32" name="Picture"/>
            <a:graphic>
              <a:graphicData uri="http://schemas.openxmlformats.org/drawingml/2006/picture">
                <pic:pic>
                  <pic:nvPicPr>
                    <pic:cNvPr descr="image/graf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1</w:t>
      </w:r>
    </w:p>
    <w:p>
      <w:pPr>
        <w:pStyle w:val="BodyText"/>
      </w:pPr>
      <w:r>
        <w:t xml:space="preserve">Код 2 случая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8" w:name="fig:003"/>
      <w:r>
        <w:drawing>
          <wp:inline>
            <wp:extent cx="5334000" cy="3644761"/>
            <wp:effectExtent b="0" l="0" r="0" t="0"/>
            <wp:docPr descr="Код 2" title="" id="36" name="Picture"/>
            <a:graphic>
              <a:graphicData uri="http://schemas.openxmlformats.org/drawingml/2006/picture">
                <pic:pic>
                  <pic:nvPicPr>
                    <pic:cNvPr descr="image/code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Код 2</w:t>
      </w:r>
    </w:p>
    <w:p>
      <w:pPr>
        <w:pStyle w:val="BodyText"/>
      </w:pPr>
      <w:r>
        <w:t xml:space="preserve">График симуляции 2 случая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41" w:name="fig:004"/>
      <w:r>
        <w:drawing>
          <wp:inline>
            <wp:extent cx="5334000" cy="2546487"/>
            <wp:effectExtent b="0" l="0" r="0" t="0"/>
            <wp:docPr descr="График 2" title="" id="39" name="Picture"/>
            <a:graphic>
              <a:graphicData uri="http://schemas.openxmlformats.org/drawingml/2006/picture">
                <pic:pic>
                  <pic:nvPicPr>
                    <pic:cNvPr descr="image/graf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График 2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построил графики изменения оборотных средств фирмы 1 и фирмы 2 без учета постоянных издержек и с веденной нормировкой для двух случаев.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5" Target="media/rId35.jpg" /><Relationship Type="http://schemas.openxmlformats.org/officeDocument/2006/relationships/image" Id="rId22" Target="media/rId22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Илья Валерьевич Фирстов</dc:creator>
  <dc:language>ru-RU</dc:language>
  <cp:keywords/>
  <dcterms:created xsi:type="dcterms:W3CDTF">2023-04-02T20:44:20Z</dcterms:created>
  <dcterms:modified xsi:type="dcterms:W3CDTF">2023-04-02T20:44:20Z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PTSerif-Regular.ttf</vt:lpwstr>
  </property>
  <property fmtid="{D5CDD505-2E9C-101B-9397-08002B2CF9AE}" pid="15" name="mainfontoptions">
    <vt:lpwstr>Ligatures=TeX</vt:lpwstr>
  </property>
  <property fmtid="{D5CDD505-2E9C-101B-9397-08002B2CF9AE}" pid="16" name="monofont">
    <vt:lpwstr>PTSerif-Regular.ttf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PTSerif-Regular.ttf</vt:lpwstr>
  </property>
  <property fmtid="{D5CDD505-2E9C-101B-9397-08002B2CF9AE}" pid="22" name="romanfontoptions">
    <vt:lpwstr>Ligatures=TeX</vt:lpwstr>
  </property>
  <property fmtid="{D5CDD505-2E9C-101B-9397-08002B2CF9AE}" pid="23" name="sansfont">
    <vt:lpwstr>PTSerif-Regular.ttf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конкуренции двух фирм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