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0EBB2" w14:textId="77777777" w:rsidR="006C3E86" w:rsidRPr="008574BE" w:rsidRDefault="006C3E86" w:rsidP="006C3E86">
      <w:pPr>
        <w:shd w:val="clear" w:color="auto" w:fill="FFFFFF"/>
        <w:spacing w:after="0" w:line="240" w:lineRule="auto"/>
        <w:jc w:val="right"/>
        <w:rPr>
          <w:rFonts w:eastAsia="Times New Roman" w:cstheme="minorHAnsi"/>
          <w:i/>
          <w:color w:val="252525"/>
          <w:sz w:val="28"/>
          <w:szCs w:val="28"/>
          <w:lang w:eastAsia="ru-RU"/>
        </w:rPr>
      </w:pPr>
    </w:p>
    <w:p w14:paraId="4ABEE820" w14:textId="77777777" w:rsidR="006C3E86" w:rsidRPr="008574BE" w:rsidRDefault="006C3E86" w:rsidP="006C3E86">
      <w:pPr>
        <w:spacing w:after="0" w:line="211" w:lineRule="auto"/>
        <w:jc w:val="center"/>
        <w:rPr>
          <w:rFonts w:cstheme="minorHAnsi"/>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6994"/>
      </w:tblGrid>
      <w:tr w:rsidR="006C3E86" w:rsidRPr="008574BE" w14:paraId="654A4F27" w14:textId="77777777" w:rsidTr="00CC2730">
        <w:tc>
          <w:tcPr>
            <w:tcW w:w="2376" w:type="dxa"/>
          </w:tcPr>
          <w:p w14:paraId="18DBF303" w14:textId="77777777" w:rsidR="006C3E86" w:rsidRPr="008574BE" w:rsidRDefault="006C3E86" w:rsidP="00CC2730">
            <w:pPr>
              <w:spacing w:line="211" w:lineRule="auto"/>
              <w:jc w:val="center"/>
              <w:rPr>
                <w:rFonts w:cstheme="minorHAnsi"/>
                <w:sz w:val="28"/>
                <w:szCs w:val="28"/>
              </w:rPr>
            </w:pPr>
            <w:r w:rsidRPr="008574BE">
              <w:rPr>
                <w:rFonts w:cstheme="minorHAnsi"/>
                <w:noProof/>
                <w:sz w:val="28"/>
                <w:szCs w:val="28"/>
                <w:lang w:eastAsia="ru-RU"/>
              </w:rPr>
              <w:drawing>
                <wp:anchor distT="0" distB="0" distL="114300" distR="114300" simplePos="0" relativeHeight="251659264" behindDoc="0" locked="0" layoutInCell="1" allowOverlap="1" wp14:anchorId="781A3C21" wp14:editId="2181B8A6">
                  <wp:simplePos x="0" y="0"/>
                  <wp:positionH relativeFrom="margin">
                    <wp:align>left</wp:align>
                  </wp:positionH>
                  <wp:positionV relativeFrom="margin">
                    <wp:align>top</wp:align>
                  </wp:positionV>
                  <wp:extent cx="1104900" cy="1104900"/>
                  <wp:effectExtent l="19050" t="19050" r="19050" b="19050"/>
                  <wp:wrapSquare wrapText="bothSides"/>
                  <wp:docPr id="3" name="Рисунок 76" descr="лого-РГСУ-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ого-РГСУ-2015.png"/>
                          <pic:cNvPicPr/>
                        </pic:nvPicPr>
                        <pic:blipFill>
                          <a:blip r:embed="rId5" cstate="print"/>
                          <a:stretch>
                            <a:fillRect/>
                          </a:stretch>
                        </pic:blipFill>
                        <pic:spPr>
                          <a:xfrm>
                            <a:off x="0" y="0"/>
                            <a:ext cx="1104900" cy="1104900"/>
                          </a:xfrm>
                          <a:prstGeom prst="rect">
                            <a:avLst/>
                          </a:prstGeom>
                          <a:ln>
                            <a:solidFill>
                              <a:schemeClr val="accent1"/>
                            </a:solidFill>
                          </a:ln>
                        </pic:spPr>
                      </pic:pic>
                    </a:graphicData>
                  </a:graphic>
                </wp:anchor>
              </w:drawing>
            </w:r>
          </w:p>
        </w:tc>
        <w:tc>
          <w:tcPr>
            <w:tcW w:w="7195" w:type="dxa"/>
            <w:vAlign w:val="center"/>
          </w:tcPr>
          <w:p w14:paraId="49067655" w14:textId="77777777" w:rsidR="006C3E86" w:rsidRPr="008574BE" w:rsidRDefault="006C3E86" w:rsidP="00CC2730">
            <w:pPr>
              <w:spacing w:line="211" w:lineRule="auto"/>
              <w:jc w:val="center"/>
              <w:rPr>
                <w:rFonts w:cstheme="minorHAnsi"/>
                <w:b/>
                <w:sz w:val="28"/>
                <w:szCs w:val="28"/>
              </w:rPr>
            </w:pPr>
            <w:r w:rsidRPr="008574BE">
              <w:rPr>
                <w:rFonts w:cstheme="minorHAnsi"/>
                <w:b/>
                <w:sz w:val="28"/>
                <w:szCs w:val="28"/>
              </w:rPr>
              <w:t>Российский государственный социальный университет</w:t>
            </w:r>
          </w:p>
          <w:p w14:paraId="17F67638" w14:textId="77777777" w:rsidR="006C3E86" w:rsidRPr="008574BE" w:rsidRDefault="006C3E86" w:rsidP="00CC2730">
            <w:pPr>
              <w:spacing w:line="211" w:lineRule="auto"/>
              <w:jc w:val="center"/>
              <w:rPr>
                <w:rFonts w:cstheme="minorHAnsi"/>
                <w:b/>
                <w:sz w:val="28"/>
                <w:szCs w:val="28"/>
              </w:rPr>
            </w:pPr>
          </w:p>
          <w:p w14:paraId="652205ED" w14:textId="77777777" w:rsidR="006C3E86" w:rsidRPr="008574BE" w:rsidRDefault="006C3E86" w:rsidP="00CC2730">
            <w:pPr>
              <w:spacing w:line="211" w:lineRule="auto"/>
              <w:jc w:val="center"/>
              <w:rPr>
                <w:rFonts w:cstheme="minorHAnsi"/>
                <w:b/>
                <w:sz w:val="28"/>
                <w:szCs w:val="28"/>
              </w:rPr>
            </w:pPr>
          </w:p>
        </w:tc>
      </w:tr>
    </w:tbl>
    <w:p w14:paraId="6ECB873F" w14:textId="77777777" w:rsidR="006C3E86" w:rsidRPr="008574BE" w:rsidRDefault="006C3E86" w:rsidP="006C3E86">
      <w:pPr>
        <w:spacing w:after="0" w:line="211" w:lineRule="auto"/>
        <w:jc w:val="center"/>
        <w:rPr>
          <w:rFonts w:cstheme="minorHAnsi"/>
          <w:sz w:val="28"/>
          <w:szCs w:val="28"/>
        </w:rPr>
      </w:pPr>
    </w:p>
    <w:p w14:paraId="1110744D" w14:textId="77777777" w:rsidR="006C3E86" w:rsidRPr="008574BE" w:rsidRDefault="006C3E86" w:rsidP="006C3E86">
      <w:pPr>
        <w:spacing w:after="0" w:line="211" w:lineRule="auto"/>
        <w:jc w:val="both"/>
        <w:rPr>
          <w:rFonts w:cstheme="minorHAnsi"/>
          <w:sz w:val="28"/>
          <w:szCs w:val="28"/>
        </w:rPr>
      </w:pPr>
    </w:p>
    <w:p w14:paraId="3F4A5D8D" w14:textId="7F62D806" w:rsidR="006C3E86" w:rsidRPr="008574BE" w:rsidRDefault="006C3E86" w:rsidP="006C3E86">
      <w:pPr>
        <w:spacing w:after="360" w:line="240" w:lineRule="auto"/>
        <w:jc w:val="center"/>
        <w:rPr>
          <w:rFonts w:cstheme="minorHAnsi"/>
          <w:b/>
          <w:sz w:val="28"/>
          <w:szCs w:val="28"/>
        </w:rPr>
      </w:pPr>
      <w:r>
        <w:rPr>
          <w:rFonts w:cstheme="minorHAnsi"/>
          <w:b/>
          <w:sz w:val="28"/>
          <w:szCs w:val="28"/>
        </w:rPr>
        <w:t>Практическое задание</w:t>
      </w:r>
    </w:p>
    <w:p w14:paraId="22F3D12D" w14:textId="542767E0" w:rsidR="006C3E86" w:rsidRPr="006C3E86" w:rsidRDefault="006C3E86" w:rsidP="006C3E86">
      <w:pPr>
        <w:pStyle w:val="1"/>
        <w:shd w:val="clear" w:color="auto" w:fill="FFFFFF"/>
        <w:spacing w:after="240" w:afterAutospacing="0"/>
        <w:jc w:val="center"/>
        <w:rPr>
          <w:rFonts w:ascii="Segoe UI" w:hAnsi="Segoe UI" w:cs="Segoe UI"/>
          <w:color w:val="1F2328"/>
        </w:rPr>
      </w:pPr>
      <w:r w:rsidRPr="008574BE">
        <w:rPr>
          <w:rFonts w:asciiTheme="minorHAnsi" w:hAnsiTheme="minorHAnsi" w:cstheme="minorHAnsi"/>
          <w:sz w:val="28"/>
          <w:szCs w:val="28"/>
        </w:rPr>
        <w:t>по дисциплине «</w:t>
      </w:r>
      <w:r w:rsidRPr="006C3E86">
        <w:rPr>
          <w:rFonts w:asciiTheme="minorHAnsi" w:hAnsiTheme="minorHAnsi" w:cstheme="minorHAnsi"/>
          <w:sz w:val="28"/>
          <w:szCs w:val="28"/>
        </w:rPr>
        <w:t>Проектно-технологическая практика</w:t>
      </w:r>
      <w:r w:rsidRPr="006C3E86">
        <w:rPr>
          <w:rFonts w:asciiTheme="minorHAnsi" w:hAnsiTheme="minorHAnsi" w:cstheme="minorHAnsi"/>
          <w:sz w:val="28"/>
          <w:szCs w:val="28"/>
        </w:rPr>
        <w:t>»</w:t>
      </w:r>
    </w:p>
    <w:p w14:paraId="7EAC74D9" w14:textId="77777777" w:rsidR="006C3E86" w:rsidRPr="008574BE" w:rsidRDefault="006C3E86" w:rsidP="006C3E86">
      <w:pPr>
        <w:spacing w:after="0" w:line="211" w:lineRule="auto"/>
        <w:jc w:val="both"/>
        <w:rPr>
          <w:rFonts w:cstheme="minorHAnsi"/>
          <w:sz w:val="28"/>
          <w:szCs w:val="28"/>
        </w:rPr>
      </w:pPr>
    </w:p>
    <w:p w14:paraId="390BB04E" w14:textId="77777777" w:rsidR="006C3E86" w:rsidRPr="008574BE" w:rsidRDefault="006C3E86" w:rsidP="006C3E86">
      <w:pPr>
        <w:spacing w:after="0" w:line="211" w:lineRule="auto"/>
        <w:jc w:val="both"/>
        <w:rPr>
          <w:rFonts w:cstheme="minorHAnsi"/>
          <w:sz w:val="28"/>
          <w:szCs w:val="28"/>
        </w:rPr>
      </w:pPr>
    </w:p>
    <w:p w14:paraId="10776366" w14:textId="77777777" w:rsidR="006C3E86" w:rsidRPr="008574BE" w:rsidRDefault="006C3E86" w:rsidP="006C3E86">
      <w:pPr>
        <w:spacing w:after="0" w:line="211" w:lineRule="auto"/>
        <w:jc w:val="both"/>
        <w:rPr>
          <w:rFonts w:cstheme="minorHAnsi"/>
          <w:sz w:val="28"/>
          <w:szCs w:val="28"/>
        </w:rPr>
      </w:pPr>
    </w:p>
    <w:p w14:paraId="4F2D0955" w14:textId="77777777" w:rsidR="006C3E86" w:rsidRPr="008574BE" w:rsidRDefault="006C3E86" w:rsidP="006C3E86">
      <w:pPr>
        <w:spacing w:after="0" w:line="211" w:lineRule="auto"/>
        <w:jc w:val="both"/>
        <w:rPr>
          <w:rFonts w:cstheme="minorHAnsi"/>
          <w:sz w:val="28"/>
          <w:szCs w:val="28"/>
        </w:rPr>
      </w:pPr>
    </w:p>
    <w:p w14:paraId="0DCBF473" w14:textId="77777777" w:rsidR="006C3E86" w:rsidRPr="008574BE" w:rsidRDefault="006C3E86" w:rsidP="006C3E86">
      <w:pPr>
        <w:spacing w:after="0" w:line="211" w:lineRule="auto"/>
        <w:jc w:val="both"/>
        <w:rPr>
          <w:rFonts w:cstheme="minorHAnsi"/>
          <w:sz w:val="28"/>
          <w:szCs w:val="28"/>
        </w:rPr>
      </w:pPr>
    </w:p>
    <w:p w14:paraId="646D88D6" w14:textId="77777777" w:rsidR="006C3E86" w:rsidRPr="008574BE" w:rsidRDefault="006C3E86" w:rsidP="006C3E86">
      <w:pPr>
        <w:spacing w:after="0" w:line="211" w:lineRule="auto"/>
        <w:jc w:val="both"/>
        <w:rPr>
          <w:rFonts w:cstheme="minorHAnsi"/>
          <w:sz w:val="28"/>
          <w:szCs w:val="28"/>
        </w:rPr>
      </w:pPr>
    </w:p>
    <w:tbl>
      <w:tblPr>
        <w:tblStyle w:val="a7"/>
        <w:tblpPr w:leftFromText="181" w:rightFromText="181" w:vertAnchor="text" w:horzAnchor="page" w:tblpXSpec="center" w:tblpY="12"/>
        <w:tblW w:w="7723" w:type="dxa"/>
        <w:tblLook w:val="04A0" w:firstRow="1" w:lastRow="0" w:firstColumn="1" w:lastColumn="0" w:noHBand="0" w:noVBand="1"/>
      </w:tblPr>
      <w:tblGrid>
        <w:gridCol w:w="3153"/>
        <w:gridCol w:w="4570"/>
      </w:tblGrid>
      <w:tr w:rsidR="006C3E86" w:rsidRPr="008574BE" w14:paraId="077F57B0" w14:textId="77777777" w:rsidTr="00CC2730">
        <w:trPr>
          <w:trHeight w:val="567"/>
        </w:trPr>
        <w:tc>
          <w:tcPr>
            <w:tcW w:w="3153" w:type="dxa"/>
            <w:vAlign w:val="center"/>
          </w:tcPr>
          <w:p w14:paraId="59276843" w14:textId="77777777" w:rsidR="006C3E86" w:rsidRPr="008574BE" w:rsidRDefault="006C3E86" w:rsidP="00CC2730">
            <w:pPr>
              <w:rPr>
                <w:rFonts w:cstheme="minorHAnsi"/>
                <w:b/>
                <w:sz w:val="28"/>
                <w:szCs w:val="28"/>
              </w:rPr>
            </w:pPr>
            <w:r w:rsidRPr="008574BE">
              <w:rPr>
                <w:rFonts w:cstheme="minorHAnsi"/>
                <w:b/>
                <w:sz w:val="28"/>
                <w:szCs w:val="28"/>
              </w:rPr>
              <w:t>ФИО студента</w:t>
            </w:r>
          </w:p>
        </w:tc>
        <w:tc>
          <w:tcPr>
            <w:tcW w:w="4570" w:type="dxa"/>
            <w:vAlign w:val="center"/>
          </w:tcPr>
          <w:p w14:paraId="57D7A91B" w14:textId="77777777" w:rsidR="006C3E86" w:rsidRPr="008574BE" w:rsidRDefault="006C3E86" w:rsidP="00CC2730">
            <w:pPr>
              <w:ind w:right="-2126"/>
              <w:rPr>
                <w:rFonts w:cstheme="minorHAnsi"/>
                <w:sz w:val="28"/>
                <w:szCs w:val="28"/>
              </w:rPr>
            </w:pPr>
            <w:proofErr w:type="spellStart"/>
            <w:r w:rsidRPr="008574BE">
              <w:rPr>
                <w:rFonts w:cstheme="minorHAnsi"/>
                <w:sz w:val="28"/>
                <w:szCs w:val="28"/>
              </w:rPr>
              <w:t>Куличева</w:t>
            </w:r>
            <w:proofErr w:type="spellEnd"/>
            <w:r w:rsidRPr="008574BE">
              <w:rPr>
                <w:rFonts w:cstheme="minorHAnsi"/>
                <w:sz w:val="28"/>
                <w:szCs w:val="28"/>
              </w:rPr>
              <w:t xml:space="preserve"> Ирина Алексеевна</w:t>
            </w:r>
          </w:p>
        </w:tc>
      </w:tr>
      <w:tr w:rsidR="006C3E86" w:rsidRPr="008574BE" w14:paraId="7AABE41F" w14:textId="77777777" w:rsidTr="00CC2730">
        <w:trPr>
          <w:trHeight w:val="567"/>
        </w:trPr>
        <w:tc>
          <w:tcPr>
            <w:tcW w:w="3153" w:type="dxa"/>
            <w:vAlign w:val="center"/>
          </w:tcPr>
          <w:p w14:paraId="3B53BD79" w14:textId="77777777" w:rsidR="006C3E86" w:rsidRPr="008574BE" w:rsidRDefault="006C3E86" w:rsidP="00CC2730">
            <w:pPr>
              <w:rPr>
                <w:rFonts w:cstheme="minorHAnsi"/>
                <w:b/>
                <w:sz w:val="28"/>
                <w:szCs w:val="28"/>
              </w:rPr>
            </w:pPr>
            <w:r w:rsidRPr="008574BE">
              <w:rPr>
                <w:rFonts w:cstheme="minorHAnsi"/>
                <w:b/>
                <w:sz w:val="28"/>
                <w:szCs w:val="28"/>
              </w:rPr>
              <w:t>Направление подготовки</w:t>
            </w:r>
          </w:p>
        </w:tc>
        <w:tc>
          <w:tcPr>
            <w:tcW w:w="4570" w:type="dxa"/>
            <w:vAlign w:val="center"/>
          </w:tcPr>
          <w:p w14:paraId="1698B030" w14:textId="77777777" w:rsidR="006C3E86" w:rsidRPr="008574BE" w:rsidRDefault="006C3E86" w:rsidP="00CC2730">
            <w:pPr>
              <w:rPr>
                <w:rFonts w:cstheme="minorHAnsi"/>
                <w:sz w:val="28"/>
                <w:szCs w:val="28"/>
              </w:rPr>
            </w:pPr>
            <w:r w:rsidRPr="008574BE">
              <w:rPr>
                <w:rFonts w:cstheme="minorHAnsi"/>
                <w:sz w:val="28"/>
                <w:szCs w:val="28"/>
              </w:rPr>
              <w:t>Бизнес-информатика</w:t>
            </w:r>
          </w:p>
        </w:tc>
      </w:tr>
      <w:tr w:rsidR="006C3E86" w:rsidRPr="008574BE" w14:paraId="0C43AD35" w14:textId="77777777" w:rsidTr="00CC2730">
        <w:trPr>
          <w:trHeight w:val="567"/>
        </w:trPr>
        <w:tc>
          <w:tcPr>
            <w:tcW w:w="3153" w:type="dxa"/>
            <w:vAlign w:val="center"/>
          </w:tcPr>
          <w:p w14:paraId="2F5B6C6E" w14:textId="77777777" w:rsidR="006C3E86" w:rsidRPr="008574BE" w:rsidRDefault="006C3E86" w:rsidP="00CC2730">
            <w:pPr>
              <w:rPr>
                <w:rFonts w:cstheme="minorHAnsi"/>
                <w:b/>
                <w:sz w:val="28"/>
                <w:szCs w:val="28"/>
              </w:rPr>
            </w:pPr>
            <w:r w:rsidRPr="008574BE">
              <w:rPr>
                <w:rFonts w:cstheme="minorHAnsi"/>
                <w:b/>
                <w:sz w:val="28"/>
                <w:szCs w:val="28"/>
              </w:rPr>
              <w:t>Группа</w:t>
            </w:r>
          </w:p>
        </w:tc>
        <w:tc>
          <w:tcPr>
            <w:tcW w:w="4570" w:type="dxa"/>
            <w:vAlign w:val="center"/>
          </w:tcPr>
          <w:p w14:paraId="615B727A" w14:textId="77777777" w:rsidR="006C3E86" w:rsidRPr="008574BE" w:rsidRDefault="006C3E86" w:rsidP="00CC2730">
            <w:pPr>
              <w:rPr>
                <w:rFonts w:cstheme="minorHAnsi"/>
                <w:sz w:val="28"/>
                <w:szCs w:val="28"/>
              </w:rPr>
            </w:pPr>
            <w:r w:rsidRPr="008574BE">
              <w:rPr>
                <w:rFonts w:cstheme="minorHAnsi"/>
                <w:sz w:val="28"/>
                <w:szCs w:val="28"/>
              </w:rPr>
              <w:t>БИЗ-Б-01-В-2022-1</w:t>
            </w:r>
            <w:r w:rsidRPr="008574BE">
              <w:rPr>
                <w:rFonts w:cstheme="minorHAnsi"/>
                <w:sz w:val="28"/>
                <w:szCs w:val="28"/>
              </w:rPr>
              <w:fldChar w:fldCharType="begin"/>
            </w:r>
            <w:r w:rsidRPr="008574BE">
              <w:rPr>
                <w:rFonts w:cstheme="minorHAnsi"/>
                <w:sz w:val="28"/>
                <w:szCs w:val="28"/>
              </w:rPr>
              <w:instrText xml:space="preserve"> MERGEFIELD "группа" </w:instrText>
            </w:r>
            <w:r w:rsidRPr="008574BE">
              <w:rPr>
                <w:rFonts w:cstheme="minorHAnsi"/>
                <w:sz w:val="28"/>
                <w:szCs w:val="28"/>
              </w:rPr>
              <w:fldChar w:fldCharType="end"/>
            </w:r>
          </w:p>
        </w:tc>
      </w:tr>
    </w:tbl>
    <w:p w14:paraId="1B587989" w14:textId="77777777" w:rsidR="006C3E86" w:rsidRPr="008574BE" w:rsidRDefault="006C3E86" w:rsidP="006C3E86">
      <w:pPr>
        <w:spacing w:after="0" w:line="211" w:lineRule="auto"/>
        <w:jc w:val="both"/>
        <w:rPr>
          <w:rFonts w:cstheme="minorHAnsi"/>
          <w:sz w:val="28"/>
          <w:szCs w:val="28"/>
        </w:rPr>
      </w:pPr>
    </w:p>
    <w:p w14:paraId="2C3B47D9" w14:textId="77777777" w:rsidR="006C3E86" w:rsidRPr="008574BE" w:rsidRDefault="006C3E86" w:rsidP="006C3E86">
      <w:pPr>
        <w:spacing w:after="0" w:line="211" w:lineRule="auto"/>
        <w:jc w:val="both"/>
        <w:rPr>
          <w:rFonts w:cstheme="minorHAnsi"/>
          <w:sz w:val="28"/>
          <w:szCs w:val="28"/>
        </w:rPr>
      </w:pPr>
    </w:p>
    <w:p w14:paraId="794029D1" w14:textId="77777777" w:rsidR="006C3E86" w:rsidRPr="008574BE" w:rsidRDefault="006C3E86" w:rsidP="006C3E86">
      <w:pPr>
        <w:spacing w:after="0" w:line="211" w:lineRule="auto"/>
        <w:jc w:val="both"/>
        <w:rPr>
          <w:rFonts w:cstheme="minorHAnsi"/>
          <w:sz w:val="28"/>
          <w:szCs w:val="28"/>
        </w:rPr>
      </w:pPr>
    </w:p>
    <w:p w14:paraId="2D913CE6" w14:textId="77777777" w:rsidR="006C3E86" w:rsidRPr="008574BE" w:rsidRDefault="006C3E86" w:rsidP="006C3E86">
      <w:pPr>
        <w:spacing w:after="0" w:line="211" w:lineRule="auto"/>
        <w:jc w:val="both"/>
        <w:rPr>
          <w:rFonts w:cstheme="minorHAnsi"/>
          <w:sz w:val="28"/>
          <w:szCs w:val="28"/>
        </w:rPr>
      </w:pPr>
    </w:p>
    <w:p w14:paraId="37DA14B4" w14:textId="77777777" w:rsidR="006C3E86" w:rsidRPr="008574BE" w:rsidRDefault="006C3E86" w:rsidP="006C3E86">
      <w:pPr>
        <w:spacing w:after="0" w:line="211" w:lineRule="auto"/>
        <w:jc w:val="both"/>
        <w:rPr>
          <w:rFonts w:cstheme="minorHAnsi"/>
          <w:sz w:val="28"/>
          <w:szCs w:val="28"/>
        </w:rPr>
      </w:pPr>
    </w:p>
    <w:p w14:paraId="44590C5D" w14:textId="77777777" w:rsidR="006C3E86" w:rsidRPr="008574BE" w:rsidRDefault="006C3E86" w:rsidP="006C3E86">
      <w:pPr>
        <w:spacing w:after="0" w:line="211" w:lineRule="auto"/>
        <w:jc w:val="both"/>
        <w:rPr>
          <w:rFonts w:cstheme="minorHAnsi"/>
          <w:sz w:val="28"/>
          <w:szCs w:val="28"/>
        </w:rPr>
      </w:pPr>
    </w:p>
    <w:p w14:paraId="273C36DC" w14:textId="77777777" w:rsidR="006C3E86" w:rsidRPr="008574BE" w:rsidRDefault="006C3E86" w:rsidP="006C3E86">
      <w:pPr>
        <w:spacing w:after="0" w:line="211" w:lineRule="auto"/>
        <w:jc w:val="both"/>
        <w:rPr>
          <w:rFonts w:cstheme="minorHAnsi"/>
          <w:sz w:val="28"/>
          <w:szCs w:val="28"/>
        </w:rPr>
      </w:pPr>
    </w:p>
    <w:p w14:paraId="4C115F0D" w14:textId="77777777" w:rsidR="006C3E86" w:rsidRPr="008574BE" w:rsidRDefault="006C3E86" w:rsidP="006C3E86">
      <w:pPr>
        <w:spacing w:after="0" w:line="211" w:lineRule="auto"/>
        <w:jc w:val="both"/>
        <w:rPr>
          <w:rFonts w:cstheme="minorHAnsi"/>
          <w:sz w:val="28"/>
          <w:szCs w:val="28"/>
        </w:rPr>
      </w:pPr>
    </w:p>
    <w:p w14:paraId="51785A5A" w14:textId="77777777" w:rsidR="006C3E86" w:rsidRPr="008574BE" w:rsidRDefault="006C3E86" w:rsidP="006C3E86">
      <w:pPr>
        <w:spacing w:after="0" w:line="211" w:lineRule="auto"/>
        <w:jc w:val="both"/>
        <w:rPr>
          <w:rFonts w:cstheme="minorHAnsi"/>
          <w:sz w:val="28"/>
          <w:szCs w:val="28"/>
        </w:rPr>
      </w:pPr>
    </w:p>
    <w:p w14:paraId="112F065D" w14:textId="77777777" w:rsidR="006C3E86" w:rsidRPr="008574BE" w:rsidRDefault="006C3E86" w:rsidP="006C3E86">
      <w:pPr>
        <w:spacing w:after="0" w:line="211" w:lineRule="auto"/>
        <w:jc w:val="both"/>
        <w:rPr>
          <w:rFonts w:cstheme="minorHAnsi"/>
          <w:sz w:val="28"/>
          <w:szCs w:val="28"/>
        </w:rPr>
      </w:pPr>
    </w:p>
    <w:p w14:paraId="5413E531" w14:textId="77777777" w:rsidR="006C3E86" w:rsidRPr="008574BE" w:rsidRDefault="006C3E86" w:rsidP="006C3E86">
      <w:pPr>
        <w:spacing w:after="0" w:line="211" w:lineRule="auto"/>
        <w:jc w:val="both"/>
        <w:rPr>
          <w:rFonts w:cstheme="minorHAnsi"/>
          <w:sz w:val="28"/>
          <w:szCs w:val="28"/>
        </w:rPr>
      </w:pPr>
    </w:p>
    <w:p w14:paraId="1A4C669D" w14:textId="77777777" w:rsidR="006C3E86" w:rsidRPr="008574BE" w:rsidRDefault="006C3E86" w:rsidP="006C3E86">
      <w:pPr>
        <w:spacing w:after="0" w:line="211" w:lineRule="auto"/>
        <w:jc w:val="both"/>
        <w:rPr>
          <w:rFonts w:cstheme="minorHAnsi"/>
          <w:sz w:val="28"/>
          <w:szCs w:val="28"/>
        </w:rPr>
      </w:pPr>
    </w:p>
    <w:p w14:paraId="00095866" w14:textId="77777777" w:rsidR="006C3E86" w:rsidRPr="008574BE" w:rsidRDefault="006C3E86" w:rsidP="006C3E86">
      <w:pPr>
        <w:spacing w:after="0" w:line="211" w:lineRule="auto"/>
        <w:jc w:val="both"/>
        <w:rPr>
          <w:rFonts w:cstheme="minorHAnsi"/>
          <w:sz w:val="28"/>
          <w:szCs w:val="28"/>
        </w:rPr>
      </w:pPr>
    </w:p>
    <w:p w14:paraId="0190FFD9" w14:textId="77777777" w:rsidR="006C3E86" w:rsidRPr="008574BE" w:rsidRDefault="006C3E86" w:rsidP="006C3E86">
      <w:pPr>
        <w:spacing w:after="0" w:line="211" w:lineRule="auto"/>
        <w:jc w:val="both"/>
        <w:rPr>
          <w:rFonts w:cstheme="minorHAnsi"/>
          <w:sz w:val="28"/>
          <w:szCs w:val="28"/>
        </w:rPr>
      </w:pPr>
    </w:p>
    <w:p w14:paraId="32B3E38D" w14:textId="77777777" w:rsidR="006C3E86" w:rsidRPr="008574BE" w:rsidRDefault="006C3E86" w:rsidP="006C3E86">
      <w:pPr>
        <w:spacing w:after="0" w:line="211" w:lineRule="auto"/>
        <w:jc w:val="both"/>
        <w:rPr>
          <w:rFonts w:cstheme="minorHAnsi"/>
          <w:sz w:val="28"/>
          <w:szCs w:val="28"/>
        </w:rPr>
      </w:pPr>
    </w:p>
    <w:p w14:paraId="3A2D76CD" w14:textId="77777777" w:rsidR="006C3E86" w:rsidRPr="008574BE" w:rsidRDefault="006C3E86" w:rsidP="006C3E86">
      <w:pPr>
        <w:spacing w:after="0" w:line="211" w:lineRule="auto"/>
        <w:jc w:val="both"/>
        <w:rPr>
          <w:rFonts w:cstheme="minorHAnsi"/>
          <w:sz w:val="28"/>
          <w:szCs w:val="28"/>
        </w:rPr>
      </w:pPr>
    </w:p>
    <w:p w14:paraId="7D3365D1" w14:textId="77777777" w:rsidR="006C3E86" w:rsidRPr="008574BE" w:rsidRDefault="006C3E86" w:rsidP="006C3E86">
      <w:pPr>
        <w:spacing w:after="0" w:line="211" w:lineRule="auto"/>
        <w:jc w:val="both"/>
        <w:rPr>
          <w:rFonts w:cstheme="minorHAnsi"/>
          <w:sz w:val="28"/>
          <w:szCs w:val="28"/>
        </w:rPr>
      </w:pPr>
    </w:p>
    <w:p w14:paraId="37D610D7" w14:textId="77777777" w:rsidR="006C3E86" w:rsidRPr="008574BE" w:rsidRDefault="006C3E86" w:rsidP="006C3E86">
      <w:pPr>
        <w:spacing w:after="0" w:line="211" w:lineRule="auto"/>
        <w:jc w:val="both"/>
        <w:rPr>
          <w:rFonts w:cstheme="minorHAnsi"/>
          <w:sz w:val="28"/>
          <w:szCs w:val="28"/>
        </w:rPr>
      </w:pPr>
    </w:p>
    <w:p w14:paraId="2A50E325" w14:textId="77777777" w:rsidR="006C3E86" w:rsidRPr="008574BE" w:rsidRDefault="006C3E86" w:rsidP="006C3E86">
      <w:pPr>
        <w:spacing w:after="0" w:line="211" w:lineRule="auto"/>
        <w:jc w:val="center"/>
        <w:rPr>
          <w:rFonts w:cstheme="minorHAnsi"/>
          <w:b/>
          <w:sz w:val="28"/>
          <w:szCs w:val="28"/>
        </w:rPr>
      </w:pPr>
      <w:r w:rsidRPr="008574BE">
        <w:rPr>
          <w:rFonts w:cstheme="minorHAnsi"/>
          <w:b/>
          <w:sz w:val="28"/>
          <w:szCs w:val="28"/>
        </w:rPr>
        <w:t>Москва</w:t>
      </w:r>
    </w:p>
    <w:p w14:paraId="0C8B2C36" w14:textId="7C26D083" w:rsidR="00EE3BFD" w:rsidRPr="00EE3BFD" w:rsidRDefault="006C3E86" w:rsidP="006C3E86">
      <w:pPr>
        <w:spacing w:after="0" w:line="360" w:lineRule="auto"/>
        <w:ind w:firstLine="851"/>
        <w:jc w:val="both"/>
        <w:outlineLvl w:val="0"/>
        <w:rPr>
          <w:rFonts w:ascii="Times New Roman" w:eastAsia="Times New Roman" w:hAnsi="Times New Roman" w:cs="Times New Roman"/>
          <w:b/>
          <w:bCs/>
          <w:kern w:val="36"/>
          <w:sz w:val="28"/>
          <w:szCs w:val="28"/>
          <w:lang w:eastAsia="ru-RU"/>
        </w:rPr>
      </w:pPr>
      <w:r w:rsidRPr="008574BE">
        <w:rPr>
          <w:rFonts w:cstheme="minorHAnsi"/>
          <w:b/>
          <w:sz w:val="28"/>
          <w:szCs w:val="28"/>
        </w:rPr>
        <w:br w:type="page"/>
      </w:r>
      <w:r w:rsidR="00EE3BFD" w:rsidRPr="00EE3BFD">
        <w:rPr>
          <w:rFonts w:ascii="Times New Roman" w:eastAsia="Times New Roman" w:hAnsi="Times New Roman" w:cs="Times New Roman"/>
          <w:b/>
          <w:bCs/>
          <w:kern w:val="36"/>
          <w:sz w:val="28"/>
          <w:szCs w:val="28"/>
          <w:lang w:eastAsia="ru-RU"/>
        </w:rPr>
        <w:lastRenderedPageBreak/>
        <w:t>Раздел 1. Общая характеристика предприятия</w:t>
      </w:r>
    </w:p>
    <w:p w14:paraId="522BCD03"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1.1 Общие сведения о предприятии</w:t>
      </w:r>
    </w:p>
    <w:p w14:paraId="7564CB2C"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Объектом исследования в рамках данной работы является Акционерное общество «Тандер» (АО «Тандер») — крупнейшая операционная компания розничной торговой сети «Магнит».</w:t>
      </w:r>
    </w:p>
    <w:p w14:paraId="36D34415"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Полное фирменное наименование организации: Акционерное общество «Тандер».</w:t>
      </w:r>
    </w:p>
    <w:p w14:paraId="61E79F16"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Сокращённое фирменное наименование: АО «Тандер».</w:t>
      </w:r>
    </w:p>
    <w:p w14:paraId="0DCEF772"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Организационно-правовая форма: акционерное общество.</w:t>
      </w:r>
    </w:p>
    <w:p w14:paraId="57F78BD5"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ИНН: 2310031475.</w:t>
      </w:r>
    </w:p>
    <w:p w14:paraId="4EBC45CA"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ОГРН: 1022301598549.</w:t>
      </w:r>
    </w:p>
    <w:p w14:paraId="27CE474D"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Дата государственной регистрации: 27 июня 1994 года.</w:t>
      </w:r>
    </w:p>
    <w:p w14:paraId="2F92248C"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Основной вид деятельности согласно ОКВЭД: 47.11 — «Торговля розничная преимущественно пищевыми продуктами, включая напитки, и табачными изделиями в неспециализированных магазинах».</w:t>
      </w:r>
    </w:p>
    <w:p w14:paraId="1490E4F4"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Юридический адрес организации: 350072, Краснодарский край, г. Краснодар, ул. Солнечная, д. 15/5.</w:t>
      </w:r>
    </w:p>
    <w:p w14:paraId="15AC332B"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Регион деятельности: Российская Федерация.</w:t>
      </w:r>
    </w:p>
    <w:p w14:paraId="0A33B9E3"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1.2 Характеристика деятельности предприятия</w:t>
      </w:r>
    </w:p>
    <w:p w14:paraId="7D6EF4F4"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АО «Тандер» является основным операционным обществом группы компаний «Магнит», одной из крупнейших розничных сетей Российской Федерации. Компания осуществляет деятельность в сфере розничной торговли продовольственными и непродовольственными товарами через развитую сеть магазинов различных форматов.</w:t>
      </w:r>
    </w:p>
    <w:p w14:paraId="24B83D63"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Основными форматами торговых объектов являются магазины «у дома», супермаркеты, аптеки и магазины дрогери. Помимо розничной торговли компания активно развивает собственную логистическую инфраструктуру, распределительные центры и транспортную сеть, обеспечивающие бесперебойные поставки товаров во все регионы присутствия.</w:t>
      </w:r>
    </w:p>
    <w:p w14:paraId="4B17C579"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lastRenderedPageBreak/>
        <w:t>АО «Тандер» осуществляет деятельность практически на всей территории Российской Федерации и обслуживает миллионы покупателей ежедневно. Масштаб деятельности компании характеризуется многотысячной сетью торговых объектов, значительными объёмами товарооборота и высокой долей на российском рынке розничной торговли.</w:t>
      </w:r>
    </w:p>
    <w:p w14:paraId="69FF89DF"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Особое внимание компания уделяет внедрению современных информационных технологий. В своей деятельности предприятие использует автоматизированные системы управления запасами, инструменты бизнес-аналитики, цифровые платформы для взаимодействия с поставщиками, системы прогнозирования спроса и технологии обработки больших данных. Использование цифровых решений позволяет повышать эффективность бизнес-процессов, сокращать издержки и улучшать качество обслуживания покупателей.</w:t>
      </w:r>
    </w:p>
    <w:p w14:paraId="0B5924D4"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1.3 Обоснование выбора предприятия</w:t>
      </w:r>
    </w:p>
    <w:p w14:paraId="75E6934F"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АО «Тандер» было выбрано в качестве объекта исследования вследствие его значительной роли на российском рынке розничной торговли и высокой степени цифровизации бизнес-процессов. Компания представляет интерес для анализа финансово-хозяйственной деятельности благодаря масштабам бизнеса, доступности финансовой отчётности и наличию большого количества экономических показателей, позволяющих провести комплексную оценку её финансового состояния.</w:t>
      </w:r>
    </w:p>
    <w:p w14:paraId="29AE23AE"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Выбор данного предприятия также связан с направлением подготовки «Бизнес-информатика». Деятельность АО «Тандер» непосредственно связана с использованием современных информационных технологий, систем поддержки принятия решений, инструментов анализа данных и автоматизации управления. Поэтому результаты анализа финансово-хозяйственной деятельности предприятия могут быть использованы для выявления проблемных областей и последующей разработки предложений по совершенствованию бизнес-процессов с применением цифровых технологий в рамках выпускной квалификационной работы.</w:t>
      </w:r>
    </w:p>
    <w:p w14:paraId="38A8A027" w14:textId="43A33363" w:rsidR="00EE3BFD" w:rsidRPr="00EE3BFD" w:rsidRDefault="00EE3BFD" w:rsidP="00EE3BFD">
      <w:pPr>
        <w:spacing w:after="0" w:line="360" w:lineRule="auto"/>
        <w:ind w:firstLine="851"/>
        <w:jc w:val="both"/>
        <w:outlineLvl w:val="0"/>
        <w:rPr>
          <w:rFonts w:ascii="Times New Roman" w:eastAsia="Times New Roman" w:hAnsi="Times New Roman" w:cs="Times New Roman"/>
          <w:b/>
          <w:bCs/>
          <w:kern w:val="36"/>
          <w:sz w:val="28"/>
          <w:szCs w:val="28"/>
          <w:lang w:eastAsia="ru-RU"/>
        </w:rPr>
      </w:pPr>
      <w:r w:rsidRPr="00EE3BFD">
        <w:rPr>
          <w:rFonts w:ascii="Times New Roman" w:eastAsia="Times New Roman" w:hAnsi="Times New Roman" w:cs="Times New Roman"/>
          <w:b/>
          <w:bCs/>
          <w:kern w:val="36"/>
          <w:sz w:val="28"/>
          <w:szCs w:val="28"/>
          <w:lang w:eastAsia="ru-RU"/>
        </w:rPr>
        <w:lastRenderedPageBreak/>
        <w:t>Раздел 2. Анализ имущественного положения предприятия</w:t>
      </w:r>
    </w:p>
    <w:p w14:paraId="3814CCFD"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Анализ имущественного положения организации позволяет оценить структуру активов и источников их формирования, выявить основные тенденции изменения имущественного комплекса предприятия и определить направления дальнейшего развития бизнеса.</w:t>
      </w:r>
    </w:p>
    <w:p w14:paraId="1108D111" w14:textId="66F73B86"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На основании данных бухгалтерского баланса АО «Тандер» проведён анализ имущественного положения организации за 2023–2025 гг.</w:t>
      </w:r>
    </w:p>
    <w:p w14:paraId="1A4933C6"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Таблица 1 – Анализ имущественного положения АО «Тандер» за 2023–2025 гг.</w:t>
      </w:r>
    </w:p>
    <w:tbl>
      <w:tblPr>
        <w:tblStyle w:val="a6"/>
        <w:tblW w:w="0" w:type="auto"/>
        <w:tblLook w:val="04A0" w:firstRow="1" w:lastRow="0" w:firstColumn="1" w:lastColumn="0" w:noHBand="0" w:noVBand="1"/>
      </w:tblPr>
      <w:tblGrid>
        <w:gridCol w:w="2657"/>
        <w:gridCol w:w="1488"/>
        <w:gridCol w:w="1488"/>
        <w:gridCol w:w="1488"/>
        <w:gridCol w:w="2224"/>
      </w:tblGrid>
      <w:tr w:rsidR="00EE3BFD" w:rsidRPr="00EE3BFD" w14:paraId="12FCCD1F" w14:textId="77777777" w:rsidTr="00EE3BFD">
        <w:tc>
          <w:tcPr>
            <w:tcW w:w="0" w:type="auto"/>
            <w:hideMark/>
          </w:tcPr>
          <w:p w14:paraId="0553E80F" w14:textId="77777777" w:rsidR="00EE3BFD" w:rsidRPr="00EE3BFD" w:rsidRDefault="00EE3BFD" w:rsidP="00EE3BFD">
            <w:pPr>
              <w:spacing w:line="360" w:lineRule="auto"/>
              <w:ind w:firstLine="851"/>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Показатель</w:t>
            </w:r>
          </w:p>
        </w:tc>
        <w:tc>
          <w:tcPr>
            <w:tcW w:w="0" w:type="auto"/>
            <w:hideMark/>
          </w:tcPr>
          <w:p w14:paraId="7EFA329B" w14:textId="77777777" w:rsidR="00EE3BFD" w:rsidRPr="00EE3BFD" w:rsidRDefault="00EE3BFD" w:rsidP="00EE3BFD">
            <w:pPr>
              <w:spacing w:line="360" w:lineRule="auto"/>
              <w:ind w:firstLine="851"/>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2023 г., тыс. руб.</w:t>
            </w:r>
          </w:p>
        </w:tc>
        <w:tc>
          <w:tcPr>
            <w:tcW w:w="0" w:type="auto"/>
            <w:hideMark/>
          </w:tcPr>
          <w:p w14:paraId="5F745620" w14:textId="77777777" w:rsidR="00EE3BFD" w:rsidRPr="00EE3BFD" w:rsidRDefault="00EE3BFD" w:rsidP="00EE3BFD">
            <w:pPr>
              <w:spacing w:line="360" w:lineRule="auto"/>
              <w:ind w:firstLine="851"/>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2024 г., тыс. руб.</w:t>
            </w:r>
          </w:p>
        </w:tc>
        <w:tc>
          <w:tcPr>
            <w:tcW w:w="0" w:type="auto"/>
            <w:hideMark/>
          </w:tcPr>
          <w:p w14:paraId="0D18E02C" w14:textId="77777777" w:rsidR="00EE3BFD" w:rsidRPr="00EE3BFD" w:rsidRDefault="00EE3BFD" w:rsidP="00EE3BFD">
            <w:pPr>
              <w:spacing w:line="360" w:lineRule="auto"/>
              <w:ind w:firstLine="851"/>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2025 г., тыс. руб.</w:t>
            </w:r>
          </w:p>
        </w:tc>
        <w:tc>
          <w:tcPr>
            <w:tcW w:w="0" w:type="auto"/>
            <w:hideMark/>
          </w:tcPr>
          <w:p w14:paraId="0E5CA399" w14:textId="77777777" w:rsidR="00EE3BFD" w:rsidRPr="00EE3BFD" w:rsidRDefault="00EE3BFD" w:rsidP="00EE3BFD">
            <w:pPr>
              <w:spacing w:line="360" w:lineRule="auto"/>
              <w:ind w:firstLine="851"/>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Изменение 2025/2023, тыс. руб.</w:t>
            </w:r>
          </w:p>
        </w:tc>
      </w:tr>
      <w:tr w:rsidR="00EE3BFD" w:rsidRPr="00EE3BFD" w14:paraId="7805BB28" w14:textId="77777777" w:rsidTr="00EE3BFD">
        <w:tc>
          <w:tcPr>
            <w:tcW w:w="0" w:type="auto"/>
            <w:hideMark/>
          </w:tcPr>
          <w:p w14:paraId="0755DC02"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Валюта баланса</w:t>
            </w:r>
          </w:p>
        </w:tc>
        <w:tc>
          <w:tcPr>
            <w:tcW w:w="0" w:type="auto"/>
            <w:hideMark/>
          </w:tcPr>
          <w:p w14:paraId="03E5DF9E"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1 328 932 887</w:t>
            </w:r>
          </w:p>
        </w:tc>
        <w:tc>
          <w:tcPr>
            <w:tcW w:w="0" w:type="auto"/>
            <w:hideMark/>
          </w:tcPr>
          <w:p w14:paraId="24C06E4B"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1 348 743 055</w:t>
            </w:r>
          </w:p>
        </w:tc>
        <w:tc>
          <w:tcPr>
            <w:tcW w:w="0" w:type="auto"/>
            <w:hideMark/>
          </w:tcPr>
          <w:p w14:paraId="0553E813"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1 651 712 125</w:t>
            </w:r>
          </w:p>
        </w:tc>
        <w:tc>
          <w:tcPr>
            <w:tcW w:w="0" w:type="auto"/>
            <w:hideMark/>
          </w:tcPr>
          <w:p w14:paraId="7EFAD68C"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+322 779 238</w:t>
            </w:r>
          </w:p>
        </w:tc>
      </w:tr>
      <w:tr w:rsidR="00EE3BFD" w:rsidRPr="00EE3BFD" w14:paraId="355B3969" w14:textId="77777777" w:rsidTr="00EE3BFD">
        <w:tc>
          <w:tcPr>
            <w:tcW w:w="0" w:type="auto"/>
            <w:hideMark/>
          </w:tcPr>
          <w:p w14:paraId="0EE9E8F1"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Внеоборотные активы</w:t>
            </w:r>
          </w:p>
        </w:tc>
        <w:tc>
          <w:tcPr>
            <w:tcW w:w="0" w:type="auto"/>
            <w:hideMark/>
          </w:tcPr>
          <w:p w14:paraId="3E9A1F52"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726 001 000</w:t>
            </w:r>
          </w:p>
        </w:tc>
        <w:tc>
          <w:tcPr>
            <w:tcW w:w="0" w:type="auto"/>
            <w:hideMark/>
          </w:tcPr>
          <w:p w14:paraId="39B0685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795 898 000</w:t>
            </w:r>
          </w:p>
        </w:tc>
        <w:tc>
          <w:tcPr>
            <w:tcW w:w="0" w:type="auto"/>
            <w:hideMark/>
          </w:tcPr>
          <w:p w14:paraId="3FA01D30"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900 000 000</w:t>
            </w:r>
          </w:p>
        </w:tc>
        <w:tc>
          <w:tcPr>
            <w:tcW w:w="0" w:type="auto"/>
            <w:hideMark/>
          </w:tcPr>
          <w:p w14:paraId="7C8C81C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+173 999 000</w:t>
            </w:r>
          </w:p>
        </w:tc>
      </w:tr>
      <w:tr w:rsidR="00EE3BFD" w:rsidRPr="00EE3BFD" w14:paraId="40471505" w14:textId="77777777" w:rsidTr="00EE3BFD">
        <w:tc>
          <w:tcPr>
            <w:tcW w:w="0" w:type="auto"/>
            <w:hideMark/>
          </w:tcPr>
          <w:p w14:paraId="07B638B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Внеоборотные активы, %</w:t>
            </w:r>
          </w:p>
        </w:tc>
        <w:tc>
          <w:tcPr>
            <w:tcW w:w="0" w:type="auto"/>
            <w:hideMark/>
          </w:tcPr>
          <w:p w14:paraId="74AA16C5"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54,6</w:t>
            </w:r>
          </w:p>
        </w:tc>
        <w:tc>
          <w:tcPr>
            <w:tcW w:w="0" w:type="auto"/>
            <w:hideMark/>
          </w:tcPr>
          <w:p w14:paraId="3C388B69"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59,0</w:t>
            </w:r>
          </w:p>
        </w:tc>
        <w:tc>
          <w:tcPr>
            <w:tcW w:w="0" w:type="auto"/>
            <w:hideMark/>
          </w:tcPr>
          <w:p w14:paraId="6049211F"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54,5</w:t>
            </w:r>
          </w:p>
        </w:tc>
        <w:tc>
          <w:tcPr>
            <w:tcW w:w="0" w:type="auto"/>
            <w:hideMark/>
          </w:tcPr>
          <w:p w14:paraId="7088844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-0,1</w:t>
            </w:r>
          </w:p>
        </w:tc>
      </w:tr>
      <w:tr w:rsidR="00EE3BFD" w:rsidRPr="00EE3BFD" w14:paraId="66F2417F" w14:textId="77777777" w:rsidTr="00EE3BFD">
        <w:tc>
          <w:tcPr>
            <w:tcW w:w="0" w:type="auto"/>
            <w:hideMark/>
          </w:tcPr>
          <w:p w14:paraId="01FE4573"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Оборотные активы</w:t>
            </w:r>
          </w:p>
        </w:tc>
        <w:tc>
          <w:tcPr>
            <w:tcW w:w="0" w:type="auto"/>
            <w:hideMark/>
          </w:tcPr>
          <w:p w14:paraId="12BAFE15"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602 931 887</w:t>
            </w:r>
          </w:p>
        </w:tc>
        <w:tc>
          <w:tcPr>
            <w:tcW w:w="0" w:type="auto"/>
            <w:hideMark/>
          </w:tcPr>
          <w:p w14:paraId="2AB2330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552 845 055</w:t>
            </w:r>
          </w:p>
        </w:tc>
        <w:tc>
          <w:tcPr>
            <w:tcW w:w="0" w:type="auto"/>
            <w:hideMark/>
          </w:tcPr>
          <w:p w14:paraId="115CD516"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751 712 125</w:t>
            </w:r>
          </w:p>
        </w:tc>
        <w:tc>
          <w:tcPr>
            <w:tcW w:w="0" w:type="auto"/>
            <w:hideMark/>
          </w:tcPr>
          <w:p w14:paraId="3167674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+148 780 238</w:t>
            </w:r>
          </w:p>
        </w:tc>
      </w:tr>
      <w:tr w:rsidR="00EE3BFD" w:rsidRPr="00EE3BFD" w14:paraId="7414A731" w14:textId="77777777" w:rsidTr="00EE3BFD">
        <w:tc>
          <w:tcPr>
            <w:tcW w:w="0" w:type="auto"/>
            <w:hideMark/>
          </w:tcPr>
          <w:p w14:paraId="76C7872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Оборотные активы, %</w:t>
            </w:r>
          </w:p>
        </w:tc>
        <w:tc>
          <w:tcPr>
            <w:tcW w:w="0" w:type="auto"/>
            <w:hideMark/>
          </w:tcPr>
          <w:p w14:paraId="5F986065"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45,4</w:t>
            </w:r>
          </w:p>
        </w:tc>
        <w:tc>
          <w:tcPr>
            <w:tcW w:w="0" w:type="auto"/>
            <w:hideMark/>
          </w:tcPr>
          <w:p w14:paraId="73B6E751"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41,0</w:t>
            </w:r>
          </w:p>
        </w:tc>
        <w:tc>
          <w:tcPr>
            <w:tcW w:w="0" w:type="auto"/>
            <w:hideMark/>
          </w:tcPr>
          <w:p w14:paraId="4AD50C7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45,5</w:t>
            </w:r>
          </w:p>
        </w:tc>
        <w:tc>
          <w:tcPr>
            <w:tcW w:w="0" w:type="auto"/>
            <w:hideMark/>
          </w:tcPr>
          <w:p w14:paraId="6A4BAC0F"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+0,1</w:t>
            </w:r>
          </w:p>
        </w:tc>
      </w:tr>
      <w:tr w:rsidR="00EE3BFD" w:rsidRPr="00EE3BFD" w14:paraId="3193F8C2" w14:textId="77777777" w:rsidTr="00EE3BFD">
        <w:tc>
          <w:tcPr>
            <w:tcW w:w="0" w:type="auto"/>
            <w:hideMark/>
          </w:tcPr>
          <w:p w14:paraId="575F0AA5"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Собственный капитал</w:t>
            </w:r>
          </w:p>
        </w:tc>
        <w:tc>
          <w:tcPr>
            <w:tcW w:w="0" w:type="auto"/>
            <w:hideMark/>
          </w:tcPr>
          <w:p w14:paraId="742841E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204 000 000</w:t>
            </w:r>
          </w:p>
        </w:tc>
        <w:tc>
          <w:tcPr>
            <w:tcW w:w="0" w:type="auto"/>
            <w:hideMark/>
          </w:tcPr>
          <w:p w14:paraId="4775B661"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225 000 000</w:t>
            </w:r>
          </w:p>
        </w:tc>
        <w:tc>
          <w:tcPr>
            <w:tcW w:w="0" w:type="auto"/>
            <w:hideMark/>
          </w:tcPr>
          <w:p w14:paraId="09E27132"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202 500 000</w:t>
            </w:r>
          </w:p>
        </w:tc>
        <w:tc>
          <w:tcPr>
            <w:tcW w:w="0" w:type="auto"/>
            <w:hideMark/>
          </w:tcPr>
          <w:p w14:paraId="4F1D495B"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-1 500 000</w:t>
            </w:r>
          </w:p>
        </w:tc>
      </w:tr>
      <w:tr w:rsidR="00EE3BFD" w:rsidRPr="00EE3BFD" w14:paraId="616C84DC" w14:textId="77777777" w:rsidTr="00EE3BFD">
        <w:tc>
          <w:tcPr>
            <w:tcW w:w="0" w:type="auto"/>
            <w:hideMark/>
          </w:tcPr>
          <w:p w14:paraId="14BAF602"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Долгосрочные обязательства</w:t>
            </w:r>
          </w:p>
        </w:tc>
        <w:tc>
          <w:tcPr>
            <w:tcW w:w="0" w:type="auto"/>
            <w:hideMark/>
          </w:tcPr>
          <w:p w14:paraId="637C61CC"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420 000 000</w:t>
            </w:r>
          </w:p>
        </w:tc>
        <w:tc>
          <w:tcPr>
            <w:tcW w:w="0" w:type="auto"/>
            <w:hideMark/>
          </w:tcPr>
          <w:p w14:paraId="35C0BC5B"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470 000 000</w:t>
            </w:r>
          </w:p>
        </w:tc>
        <w:tc>
          <w:tcPr>
            <w:tcW w:w="0" w:type="auto"/>
            <w:hideMark/>
          </w:tcPr>
          <w:p w14:paraId="3E06C27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565 000 000</w:t>
            </w:r>
          </w:p>
        </w:tc>
        <w:tc>
          <w:tcPr>
            <w:tcW w:w="0" w:type="auto"/>
            <w:hideMark/>
          </w:tcPr>
          <w:p w14:paraId="245EBC5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+145 000 000</w:t>
            </w:r>
          </w:p>
        </w:tc>
      </w:tr>
      <w:tr w:rsidR="00EE3BFD" w:rsidRPr="00EE3BFD" w14:paraId="2C91FA76" w14:textId="77777777" w:rsidTr="00EE3BFD">
        <w:tc>
          <w:tcPr>
            <w:tcW w:w="0" w:type="auto"/>
            <w:hideMark/>
          </w:tcPr>
          <w:p w14:paraId="1B31E6A8"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Краткосрочные обязательства</w:t>
            </w:r>
          </w:p>
        </w:tc>
        <w:tc>
          <w:tcPr>
            <w:tcW w:w="0" w:type="auto"/>
            <w:hideMark/>
          </w:tcPr>
          <w:p w14:paraId="646A82BC"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704 932 887</w:t>
            </w:r>
          </w:p>
        </w:tc>
        <w:tc>
          <w:tcPr>
            <w:tcW w:w="0" w:type="auto"/>
            <w:hideMark/>
          </w:tcPr>
          <w:p w14:paraId="65265FF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653 743 055</w:t>
            </w:r>
          </w:p>
        </w:tc>
        <w:tc>
          <w:tcPr>
            <w:tcW w:w="0" w:type="auto"/>
            <w:hideMark/>
          </w:tcPr>
          <w:p w14:paraId="0C3CF96D"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884 212 125</w:t>
            </w:r>
          </w:p>
        </w:tc>
        <w:tc>
          <w:tcPr>
            <w:tcW w:w="0" w:type="auto"/>
            <w:hideMark/>
          </w:tcPr>
          <w:p w14:paraId="1A398AE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+179 279 238</w:t>
            </w:r>
          </w:p>
        </w:tc>
      </w:tr>
    </w:tbl>
    <w:p w14:paraId="456E1CA5" w14:textId="5B5D1C09"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i/>
          <w:iCs/>
          <w:sz w:val="28"/>
          <w:szCs w:val="28"/>
          <w:lang w:eastAsia="ru-RU"/>
        </w:rPr>
        <w:lastRenderedPageBreak/>
        <w:br/>
      </w:r>
      <w:r w:rsidRPr="00EE3BFD">
        <w:rPr>
          <w:rFonts w:ascii="Times New Roman" w:eastAsia="Times New Roman" w:hAnsi="Times New Roman" w:cs="Times New Roman"/>
          <w:b/>
          <w:bCs/>
          <w:sz w:val="28"/>
          <w:szCs w:val="28"/>
          <w:lang w:eastAsia="ru-RU"/>
        </w:rPr>
        <w:t>Анализ активов предприятия</w:t>
      </w:r>
    </w:p>
    <w:p w14:paraId="2C4DBD62"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За рассматриваемый период валюта баланса АО «Тандер» увеличилась с 1 328,9 млрд руб. до 1 651,7 млрд руб. Рост составил 322,8 млрд руб., или около 24,3 %. Данная тенденция свидетельствует о расширении масштабов деятельности организации и увеличении объёма ресурсов, находящихся в её распоряжении.</w:t>
      </w:r>
    </w:p>
    <w:p w14:paraId="3D673178"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Внеоборотные активы за анализируемый период увеличились на 174 млрд руб. Основную часть внеоборотных активов составляют основные средства, используемые для обеспечения деятельности торговой сети, логистических центров, складских комплексов и транспортной инфраструктуры. Несмотря на существенный рост абсолютной величины внеоборотных активов, их доля в структуре имущества организации практически не изменилась и составила около 55 %.</w:t>
      </w:r>
    </w:p>
    <w:p w14:paraId="6A950FB1" w14:textId="35B3665C"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Рост внеоборотных активов свидетельствует о продолжении инвестиционной деятельности предприятия, направленной на развитие материально-технической базы и расширение сети торговых объектов.</w:t>
      </w:r>
    </w:p>
    <w:p w14:paraId="79D43404"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Анализ оборотных активов</w:t>
      </w:r>
    </w:p>
    <w:p w14:paraId="5CDC6D2B"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Оборотные активы за рассматриваемый период увеличились на 148,8 млрд руб. и достигли 751,7 млрд руб. Их удельный вес в структуре имущества сохранился на уровне около 45 %.</w:t>
      </w:r>
    </w:p>
    <w:p w14:paraId="0F55043C"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Высокая доля оборотных активов характерна для организаций розничной торговли, поскольку значительную часть их имущества составляют товарные запасы, денежные средства и дебиторская задолженность. Увеличение оборотных активов обусловлено расширением товарооборота и масштабов хозяйственной деятельности компании.</w:t>
      </w:r>
    </w:p>
    <w:p w14:paraId="4B901DB4" w14:textId="7387F049"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Сохранение сбалансированного соотношения между внеоборотными и оборотными активами свидетельствует об устойчивой структуре имущества предприятия.</w:t>
      </w:r>
      <w:r w:rsidRPr="00EE3BFD">
        <w:rPr>
          <w:rFonts w:ascii="Times New Roman" w:eastAsia="Times New Roman" w:hAnsi="Times New Roman" w:cs="Times New Roman"/>
          <w:sz w:val="28"/>
          <w:szCs w:val="28"/>
          <w:lang w:eastAsia="ru-RU"/>
        </w:rPr>
        <w:br/>
      </w:r>
    </w:p>
    <w:p w14:paraId="72D06D29"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lastRenderedPageBreak/>
        <w:t>Анализ источников формирования имущества</w:t>
      </w:r>
    </w:p>
    <w:p w14:paraId="40F8B7E1"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Собственный капитал АО «Тандер» в течение анализируемого периода изменялся незначительно. Несмотря на рост бизнеса и увеличение объёма активов, величина собственного капитала к концу 2025 года составила около 202,5 млрд руб., что несколько ниже уровня 2023 года.</w:t>
      </w:r>
    </w:p>
    <w:p w14:paraId="20B3017D"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Одновременно наблюдается существенный рост обязательств организации. Долгосрочные обязательства увеличились на 145 млрд руб., а краткосрочные обязательства выросли на 179,3 млрд руб. Наибольший вклад в структуру источников финансирования продолжают вносить заёмные средства.</w:t>
      </w:r>
    </w:p>
    <w:p w14:paraId="0E4CEE95" w14:textId="01A00C19"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Увеличение обязательств при относительно стабильной величине собственного капитала свидетельствует о высокой зависимости предприятия от внешних источников финансирования. Для организаций розничной торговли подобная ситуация является распространённой, однако требует постоянного контроля за финансовой устойчивостью и платёжеспособностью.</w:t>
      </w:r>
    </w:p>
    <w:p w14:paraId="38697942"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Вывод по разделу</w:t>
      </w:r>
    </w:p>
    <w:p w14:paraId="415DBC7B"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Проведённый анализ имущественного положения АО «Тандер» показал, что предприятие демонстрирует устойчивый рост масштабов деятельности, о чём свидетельствует увеличение валюты баланса на 24,3 % за период 2023–2025 гг. Структура активов является сбалансированной: около половины имущества приходится на внеоборотные активы и около половины — на оборотные.</w:t>
      </w:r>
    </w:p>
    <w:p w14:paraId="44149CEA"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Положительным фактором является рост имущественного потенциала предприятия и увеличение объёма активов. Вместе с тем выявлена тенденция опережающего роста обязательств по сравнению с собственным капиталом, что может привести к снижению финансовой устойчивости организации в долгосрочной перспективе. Данный аспект требует более детального анализа при оценке финансового состояния предприятия.</w:t>
      </w:r>
    </w:p>
    <w:p w14:paraId="3990B4DD" w14:textId="1F35CFAF" w:rsidR="00384350" w:rsidRPr="00EE3BFD" w:rsidRDefault="00384350" w:rsidP="00EE3BFD">
      <w:pPr>
        <w:spacing w:line="360" w:lineRule="auto"/>
        <w:ind w:firstLine="851"/>
        <w:jc w:val="both"/>
        <w:rPr>
          <w:rFonts w:ascii="Times New Roman" w:hAnsi="Times New Roman" w:cs="Times New Roman"/>
          <w:sz w:val="28"/>
          <w:szCs w:val="28"/>
        </w:rPr>
      </w:pPr>
    </w:p>
    <w:p w14:paraId="5F2E6DFD" w14:textId="77777777" w:rsidR="00EE3BFD" w:rsidRPr="00EE3BFD" w:rsidRDefault="00EE3BFD" w:rsidP="00EE3BFD">
      <w:pPr>
        <w:spacing w:after="0" w:line="360" w:lineRule="auto"/>
        <w:ind w:firstLine="851"/>
        <w:jc w:val="both"/>
        <w:outlineLvl w:val="0"/>
        <w:rPr>
          <w:rFonts w:ascii="Times New Roman" w:eastAsia="Times New Roman" w:hAnsi="Times New Roman" w:cs="Times New Roman"/>
          <w:b/>
          <w:bCs/>
          <w:kern w:val="36"/>
          <w:sz w:val="36"/>
          <w:szCs w:val="36"/>
          <w:lang w:eastAsia="ru-RU"/>
        </w:rPr>
      </w:pPr>
      <w:r w:rsidRPr="00EE3BFD">
        <w:rPr>
          <w:rFonts w:ascii="Times New Roman" w:eastAsia="Times New Roman" w:hAnsi="Times New Roman" w:cs="Times New Roman"/>
          <w:b/>
          <w:bCs/>
          <w:kern w:val="36"/>
          <w:sz w:val="36"/>
          <w:szCs w:val="36"/>
          <w:lang w:eastAsia="ru-RU"/>
        </w:rPr>
        <w:lastRenderedPageBreak/>
        <w:t>Раздел 3. Анализ финансовых результатов</w:t>
      </w:r>
    </w:p>
    <w:p w14:paraId="133E59D4"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Финансовые результаты деятельности предприятия являются одним из важнейших показателей эффективности функционирования организации. Анализ показателей отчёта о финансовых результатах позволяет оценить динамику доходов, расходов и конечного финансового результата деятельности АО «Тандер».</w:t>
      </w:r>
    </w:p>
    <w:p w14:paraId="5A08E877"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Таблица 2 – Анализ финансовых результатов АО «Тандер» за 2023–2025 гг.</w:t>
      </w:r>
    </w:p>
    <w:tbl>
      <w:tblPr>
        <w:tblStyle w:val="a7"/>
        <w:tblW w:w="0" w:type="auto"/>
        <w:tblLook w:val="04A0" w:firstRow="1" w:lastRow="0" w:firstColumn="1" w:lastColumn="0" w:noHBand="0" w:noVBand="1"/>
      </w:tblPr>
      <w:tblGrid>
        <w:gridCol w:w="2707"/>
        <w:gridCol w:w="1486"/>
        <w:gridCol w:w="1486"/>
        <w:gridCol w:w="1486"/>
        <w:gridCol w:w="2180"/>
      </w:tblGrid>
      <w:tr w:rsidR="00EE3BFD" w:rsidRPr="00EE3BFD" w14:paraId="5D49B127" w14:textId="77777777" w:rsidTr="00EE3BFD">
        <w:tc>
          <w:tcPr>
            <w:tcW w:w="0" w:type="auto"/>
            <w:hideMark/>
          </w:tcPr>
          <w:p w14:paraId="22CAFDE4"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Показатель</w:t>
            </w:r>
          </w:p>
        </w:tc>
        <w:tc>
          <w:tcPr>
            <w:tcW w:w="0" w:type="auto"/>
            <w:hideMark/>
          </w:tcPr>
          <w:p w14:paraId="607AD371"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2023 г., тыс. руб.</w:t>
            </w:r>
          </w:p>
        </w:tc>
        <w:tc>
          <w:tcPr>
            <w:tcW w:w="0" w:type="auto"/>
            <w:hideMark/>
          </w:tcPr>
          <w:p w14:paraId="630E780E"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2024 г., тыс. руб.</w:t>
            </w:r>
          </w:p>
        </w:tc>
        <w:tc>
          <w:tcPr>
            <w:tcW w:w="0" w:type="auto"/>
            <w:hideMark/>
          </w:tcPr>
          <w:p w14:paraId="3D20A167"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2025 г., тыс. руб.</w:t>
            </w:r>
          </w:p>
        </w:tc>
        <w:tc>
          <w:tcPr>
            <w:tcW w:w="0" w:type="auto"/>
            <w:hideMark/>
          </w:tcPr>
          <w:p w14:paraId="27DCD0F9"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Изменение 2025/2023</w:t>
            </w:r>
          </w:p>
        </w:tc>
      </w:tr>
      <w:tr w:rsidR="00EE3BFD" w:rsidRPr="00EE3BFD" w14:paraId="528F20EB" w14:textId="77777777" w:rsidTr="00EE3BFD">
        <w:tc>
          <w:tcPr>
            <w:tcW w:w="0" w:type="auto"/>
            <w:hideMark/>
          </w:tcPr>
          <w:p w14:paraId="6F1E170E"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Выручка</w:t>
            </w:r>
          </w:p>
        </w:tc>
        <w:tc>
          <w:tcPr>
            <w:tcW w:w="0" w:type="auto"/>
            <w:hideMark/>
          </w:tcPr>
          <w:p w14:paraId="706777E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2 314 387 227</w:t>
            </w:r>
          </w:p>
        </w:tc>
        <w:tc>
          <w:tcPr>
            <w:tcW w:w="0" w:type="auto"/>
            <w:hideMark/>
          </w:tcPr>
          <w:p w14:paraId="4C6F066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2 699 489 701</w:t>
            </w:r>
          </w:p>
        </w:tc>
        <w:tc>
          <w:tcPr>
            <w:tcW w:w="0" w:type="auto"/>
            <w:hideMark/>
          </w:tcPr>
          <w:p w14:paraId="5A5637A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3 050 026 081</w:t>
            </w:r>
          </w:p>
        </w:tc>
        <w:tc>
          <w:tcPr>
            <w:tcW w:w="0" w:type="auto"/>
            <w:hideMark/>
          </w:tcPr>
          <w:p w14:paraId="38A2A48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+735 638 854</w:t>
            </w:r>
          </w:p>
        </w:tc>
      </w:tr>
      <w:tr w:rsidR="00EE3BFD" w:rsidRPr="00EE3BFD" w14:paraId="0ECA718A" w14:textId="77777777" w:rsidTr="00EE3BFD">
        <w:tc>
          <w:tcPr>
            <w:tcW w:w="0" w:type="auto"/>
            <w:hideMark/>
          </w:tcPr>
          <w:p w14:paraId="57EEA89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Себестоимость</w:t>
            </w:r>
          </w:p>
        </w:tc>
        <w:tc>
          <w:tcPr>
            <w:tcW w:w="0" w:type="auto"/>
            <w:hideMark/>
          </w:tcPr>
          <w:p w14:paraId="79C6A52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1 711 580 000</w:t>
            </w:r>
          </w:p>
        </w:tc>
        <w:tc>
          <w:tcPr>
            <w:tcW w:w="0" w:type="auto"/>
            <w:hideMark/>
          </w:tcPr>
          <w:p w14:paraId="54BAFCD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2 012 400 000</w:t>
            </w:r>
          </w:p>
        </w:tc>
        <w:tc>
          <w:tcPr>
            <w:tcW w:w="0" w:type="auto"/>
            <w:hideMark/>
          </w:tcPr>
          <w:p w14:paraId="2482DA7D"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2 328 600 000</w:t>
            </w:r>
          </w:p>
        </w:tc>
        <w:tc>
          <w:tcPr>
            <w:tcW w:w="0" w:type="auto"/>
            <w:hideMark/>
          </w:tcPr>
          <w:p w14:paraId="4B04B617"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+617 020 000</w:t>
            </w:r>
          </w:p>
        </w:tc>
      </w:tr>
      <w:tr w:rsidR="00EE3BFD" w:rsidRPr="00EE3BFD" w14:paraId="35CB9644" w14:textId="77777777" w:rsidTr="00EE3BFD">
        <w:tc>
          <w:tcPr>
            <w:tcW w:w="0" w:type="auto"/>
            <w:hideMark/>
          </w:tcPr>
          <w:p w14:paraId="0772852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Валовая прибыль</w:t>
            </w:r>
          </w:p>
        </w:tc>
        <w:tc>
          <w:tcPr>
            <w:tcW w:w="0" w:type="auto"/>
            <w:hideMark/>
          </w:tcPr>
          <w:p w14:paraId="4F6B616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602 807 227</w:t>
            </w:r>
          </w:p>
        </w:tc>
        <w:tc>
          <w:tcPr>
            <w:tcW w:w="0" w:type="auto"/>
            <w:hideMark/>
          </w:tcPr>
          <w:p w14:paraId="6585127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687 089 701</w:t>
            </w:r>
          </w:p>
        </w:tc>
        <w:tc>
          <w:tcPr>
            <w:tcW w:w="0" w:type="auto"/>
            <w:hideMark/>
          </w:tcPr>
          <w:p w14:paraId="3D2191AE"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721 426 081</w:t>
            </w:r>
          </w:p>
        </w:tc>
        <w:tc>
          <w:tcPr>
            <w:tcW w:w="0" w:type="auto"/>
            <w:hideMark/>
          </w:tcPr>
          <w:p w14:paraId="4BDE9A2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+118 618 854</w:t>
            </w:r>
          </w:p>
        </w:tc>
      </w:tr>
      <w:tr w:rsidR="00EE3BFD" w:rsidRPr="00EE3BFD" w14:paraId="2B4C8066" w14:textId="77777777" w:rsidTr="00EE3BFD">
        <w:tc>
          <w:tcPr>
            <w:tcW w:w="0" w:type="auto"/>
            <w:hideMark/>
          </w:tcPr>
          <w:p w14:paraId="5E5083F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Прибыль от продаж</w:t>
            </w:r>
          </w:p>
        </w:tc>
        <w:tc>
          <w:tcPr>
            <w:tcW w:w="0" w:type="auto"/>
            <w:hideMark/>
          </w:tcPr>
          <w:p w14:paraId="51E3B60E"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118 240 000</w:t>
            </w:r>
          </w:p>
        </w:tc>
        <w:tc>
          <w:tcPr>
            <w:tcW w:w="0" w:type="auto"/>
            <w:hideMark/>
          </w:tcPr>
          <w:p w14:paraId="27CC25AF"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125 810 000</w:t>
            </w:r>
          </w:p>
        </w:tc>
        <w:tc>
          <w:tcPr>
            <w:tcW w:w="0" w:type="auto"/>
            <w:hideMark/>
          </w:tcPr>
          <w:p w14:paraId="5DCE61F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138 664 407</w:t>
            </w:r>
          </w:p>
        </w:tc>
        <w:tc>
          <w:tcPr>
            <w:tcW w:w="0" w:type="auto"/>
            <w:hideMark/>
          </w:tcPr>
          <w:p w14:paraId="519063AB"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+20 424 407</w:t>
            </w:r>
          </w:p>
        </w:tc>
      </w:tr>
      <w:tr w:rsidR="00EE3BFD" w:rsidRPr="00EE3BFD" w14:paraId="44929016" w14:textId="77777777" w:rsidTr="00EE3BFD">
        <w:tc>
          <w:tcPr>
            <w:tcW w:w="0" w:type="auto"/>
            <w:hideMark/>
          </w:tcPr>
          <w:p w14:paraId="30E6846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Чистая прибыль (убыток)</w:t>
            </w:r>
          </w:p>
        </w:tc>
        <w:tc>
          <w:tcPr>
            <w:tcW w:w="0" w:type="auto"/>
            <w:hideMark/>
          </w:tcPr>
          <w:p w14:paraId="1672118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62 902 180</w:t>
            </w:r>
          </w:p>
        </w:tc>
        <w:tc>
          <w:tcPr>
            <w:tcW w:w="0" w:type="auto"/>
            <w:hideMark/>
          </w:tcPr>
          <w:p w14:paraId="31162A2D"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46 419 038</w:t>
            </w:r>
          </w:p>
        </w:tc>
        <w:tc>
          <w:tcPr>
            <w:tcW w:w="0" w:type="auto"/>
            <w:hideMark/>
          </w:tcPr>
          <w:p w14:paraId="3A5CCF8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-22 477 921</w:t>
            </w:r>
          </w:p>
        </w:tc>
        <w:tc>
          <w:tcPr>
            <w:tcW w:w="0" w:type="auto"/>
            <w:hideMark/>
          </w:tcPr>
          <w:p w14:paraId="1593077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-85 380 101</w:t>
            </w:r>
          </w:p>
        </w:tc>
      </w:tr>
      <w:tr w:rsidR="00EE3BFD" w:rsidRPr="00EE3BFD" w14:paraId="21B10553" w14:textId="77777777" w:rsidTr="00EE3BFD">
        <w:tc>
          <w:tcPr>
            <w:tcW w:w="0" w:type="auto"/>
            <w:hideMark/>
          </w:tcPr>
          <w:p w14:paraId="45AE81BF"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Рентабельность продаж, %</w:t>
            </w:r>
          </w:p>
        </w:tc>
        <w:tc>
          <w:tcPr>
            <w:tcW w:w="0" w:type="auto"/>
            <w:hideMark/>
          </w:tcPr>
          <w:p w14:paraId="52B4497D"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5,11</w:t>
            </w:r>
          </w:p>
        </w:tc>
        <w:tc>
          <w:tcPr>
            <w:tcW w:w="0" w:type="auto"/>
            <w:hideMark/>
          </w:tcPr>
          <w:p w14:paraId="697416B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4,66</w:t>
            </w:r>
          </w:p>
        </w:tc>
        <w:tc>
          <w:tcPr>
            <w:tcW w:w="0" w:type="auto"/>
            <w:hideMark/>
          </w:tcPr>
          <w:p w14:paraId="2598C101"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4,55</w:t>
            </w:r>
          </w:p>
        </w:tc>
        <w:tc>
          <w:tcPr>
            <w:tcW w:w="0" w:type="auto"/>
            <w:hideMark/>
          </w:tcPr>
          <w:p w14:paraId="7030F843"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-0,56</w:t>
            </w:r>
          </w:p>
        </w:tc>
      </w:tr>
    </w:tbl>
    <w:p w14:paraId="1F25F2AF"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i/>
          <w:iCs/>
          <w:sz w:val="28"/>
          <w:szCs w:val="28"/>
          <w:lang w:eastAsia="ru-RU"/>
        </w:rPr>
        <w:t>Источник: бухгалтерская отчётность АО «Тандер», данные открытых источников, расчёты автора.</w:t>
      </w:r>
    </w:p>
    <w:p w14:paraId="0DDBD987"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Анализ динамики выручки и прибыли</w:t>
      </w:r>
    </w:p>
    <w:p w14:paraId="4634BB20"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 течение анализируемого периода выручка АО «Тандер» демонстрировала устойчивый рост. За три года объём продаж увеличился на 735,6 млрд руб., что свидетельствует о расширении деятельности компании, увеличении товарооборота и укреплении рыночных позиций предприятия.</w:t>
      </w:r>
    </w:p>
    <w:p w14:paraId="6FFBA578"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lastRenderedPageBreak/>
        <w:t>Себестоимость реализованной продукции также существенно возросла. За период её величина увеличилась более чем на 617 млрд руб. Рост себестоимости обусловлен увеличением объёмов закупок товаров, ростом транспортных расходов, затрат на логистику, персонал и содержание торговой инфраструктуры.</w:t>
      </w:r>
    </w:p>
    <w:p w14:paraId="2407ED8C"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Валовая прибыль предприятия увеличилась на 118,6 млрд руб., что является положительной тенденцией и свидетельствует о сохранении способности компании формировать прибыль на этапе основной деятельности.</w:t>
      </w:r>
    </w:p>
    <w:p w14:paraId="5F30DE90"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Прибыль от продаж также показала положительную динамику и увеличилась более чем на 20 млрд руб. Это указывает на сохранение эффективности основной операционной деятельности организации.</w:t>
      </w:r>
    </w:p>
    <w:p w14:paraId="70D717D2"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Вместе с тем анализ чистой прибыли показывает негативную тенденцию. Если в 2023 году компания получила прибыль в размере 62,9 млрд руб., то по итогам 2025 года был зафиксирован чистый убыток в размере 22,5 млрд руб. Данное обстоятельство может быть связано с увеличением финансовых расходов, обслуживанием заёмного капитала, курсовыми разницами и прочими расходами, не связанными напрямую с основной деятельностью.</w:t>
      </w:r>
    </w:p>
    <w:p w14:paraId="06B9C782"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Вывод по разделу</w:t>
      </w:r>
    </w:p>
    <w:p w14:paraId="20276F37"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Проведённый анализ финансовых результатов показал, что АО «Тандер» сохраняет высокий уровень деловой активности и демонстрирует устойчивый рост выручки. Основная деятельность предприятия остаётся прибыльной, о чём свидетельствует положительная динамика прибыли от продаж.</w:t>
      </w:r>
    </w:p>
    <w:p w14:paraId="23E2522C" w14:textId="0030ABAB" w:rsid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xml:space="preserve">Однако снижение чистой прибыли и получение убытка по итогам 2025 года свидетельствуют об ухудшении общего финансового результата компании. Несмотря на рост объёмов реализации продукции, предприятие сталкивается с увеличением расходов, оказывающих отрицательное влияние на конечный финансовый результат. В дальнейшем руководству компании </w:t>
      </w:r>
      <w:r w:rsidRPr="00EE3BFD">
        <w:rPr>
          <w:rFonts w:ascii="Times New Roman" w:eastAsia="Times New Roman" w:hAnsi="Times New Roman" w:cs="Times New Roman"/>
          <w:sz w:val="28"/>
          <w:szCs w:val="28"/>
          <w:lang w:eastAsia="ru-RU"/>
        </w:rPr>
        <w:lastRenderedPageBreak/>
        <w:t>необходимо уделить внимание вопросам оптимизации затрат и повышения эффективности использования финансовых ресурсов.</w:t>
      </w:r>
    </w:p>
    <w:p w14:paraId="6636767E" w14:textId="77777777" w:rsidR="00EE3BFD" w:rsidRDefault="00EE3BFD">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ACE60BB" w14:textId="77777777" w:rsidR="00EE3BFD" w:rsidRPr="00EE3BFD" w:rsidRDefault="00EE3BFD" w:rsidP="00EE3BFD">
      <w:pPr>
        <w:spacing w:after="0" w:line="360" w:lineRule="auto"/>
        <w:ind w:firstLine="851"/>
        <w:jc w:val="both"/>
        <w:outlineLvl w:val="0"/>
        <w:rPr>
          <w:rFonts w:ascii="Times New Roman" w:eastAsia="Times New Roman" w:hAnsi="Times New Roman" w:cs="Times New Roman"/>
          <w:b/>
          <w:bCs/>
          <w:kern w:val="36"/>
          <w:sz w:val="36"/>
          <w:szCs w:val="36"/>
          <w:lang w:eastAsia="ru-RU"/>
        </w:rPr>
      </w:pPr>
      <w:r w:rsidRPr="00EE3BFD">
        <w:rPr>
          <w:rFonts w:ascii="Times New Roman" w:eastAsia="Times New Roman" w:hAnsi="Times New Roman" w:cs="Times New Roman"/>
          <w:b/>
          <w:bCs/>
          <w:kern w:val="36"/>
          <w:sz w:val="36"/>
          <w:szCs w:val="36"/>
          <w:lang w:eastAsia="ru-RU"/>
        </w:rPr>
        <w:lastRenderedPageBreak/>
        <w:t>Раздел 4. Анализ финансового состояния</w:t>
      </w:r>
    </w:p>
    <w:p w14:paraId="4A61B2E2"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Для оценки финансового состояния предприятия проведён анализ показателей ликвидности, финансовой устойчивости, деловой активности и рентабельности.</w:t>
      </w:r>
    </w:p>
    <w:p w14:paraId="211876D9"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Таблица 3 – Анализ финансового состояния АО «Тандер»</w:t>
      </w:r>
    </w:p>
    <w:tbl>
      <w:tblPr>
        <w:tblStyle w:val="a7"/>
        <w:tblW w:w="0" w:type="auto"/>
        <w:tblLook w:val="04A0" w:firstRow="1" w:lastRow="0" w:firstColumn="1" w:lastColumn="0" w:noHBand="0" w:noVBand="1"/>
      </w:tblPr>
      <w:tblGrid>
        <w:gridCol w:w="3085"/>
        <w:gridCol w:w="1511"/>
        <w:gridCol w:w="780"/>
        <w:gridCol w:w="780"/>
        <w:gridCol w:w="780"/>
        <w:gridCol w:w="2409"/>
      </w:tblGrid>
      <w:tr w:rsidR="00EE3BFD" w:rsidRPr="00EE3BFD" w14:paraId="76C1EA97" w14:textId="77777777" w:rsidTr="00EE3BFD">
        <w:tc>
          <w:tcPr>
            <w:tcW w:w="0" w:type="auto"/>
            <w:hideMark/>
          </w:tcPr>
          <w:p w14:paraId="42942824"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Показатель</w:t>
            </w:r>
          </w:p>
        </w:tc>
        <w:tc>
          <w:tcPr>
            <w:tcW w:w="0" w:type="auto"/>
            <w:hideMark/>
          </w:tcPr>
          <w:p w14:paraId="48D4C797"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Норматив</w:t>
            </w:r>
          </w:p>
        </w:tc>
        <w:tc>
          <w:tcPr>
            <w:tcW w:w="0" w:type="auto"/>
            <w:hideMark/>
          </w:tcPr>
          <w:p w14:paraId="25F9D5E2"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2023</w:t>
            </w:r>
          </w:p>
        </w:tc>
        <w:tc>
          <w:tcPr>
            <w:tcW w:w="0" w:type="auto"/>
            <w:hideMark/>
          </w:tcPr>
          <w:p w14:paraId="7C8EF366"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2024</w:t>
            </w:r>
          </w:p>
        </w:tc>
        <w:tc>
          <w:tcPr>
            <w:tcW w:w="0" w:type="auto"/>
            <w:hideMark/>
          </w:tcPr>
          <w:p w14:paraId="131C8805"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2025</w:t>
            </w:r>
          </w:p>
        </w:tc>
        <w:tc>
          <w:tcPr>
            <w:tcW w:w="0" w:type="auto"/>
            <w:hideMark/>
          </w:tcPr>
          <w:p w14:paraId="489AD3F3" w14:textId="77777777" w:rsidR="00EE3BFD" w:rsidRPr="00EE3BFD" w:rsidRDefault="00EE3BFD" w:rsidP="00EE3BFD">
            <w:pPr>
              <w:spacing w:line="360" w:lineRule="auto"/>
              <w:jc w:val="both"/>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Вывод</w:t>
            </w:r>
          </w:p>
        </w:tc>
      </w:tr>
      <w:tr w:rsidR="00EE3BFD" w:rsidRPr="00EE3BFD" w14:paraId="075F4151" w14:textId="77777777" w:rsidTr="00EE3BFD">
        <w:tc>
          <w:tcPr>
            <w:tcW w:w="0" w:type="auto"/>
            <w:hideMark/>
          </w:tcPr>
          <w:p w14:paraId="0851907B"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Группа 1. Ликвидность</w:t>
            </w:r>
          </w:p>
        </w:tc>
        <w:tc>
          <w:tcPr>
            <w:tcW w:w="0" w:type="auto"/>
            <w:hideMark/>
          </w:tcPr>
          <w:p w14:paraId="3C206845"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424CF1A3"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1CDEDA80"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2C7123A3"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0B70F477"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r>
      <w:tr w:rsidR="00EE3BFD" w:rsidRPr="00EE3BFD" w14:paraId="4CE454FA" w14:textId="77777777" w:rsidTr="00EE3BFD">
        <w:tc>
          <w:tcPr>
            <w:tcW w:w="0" w:type="auto"/>
            <w:hideMark/>
          </w:tcPr>
          <w:p w14:paraId="6C5969D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текущей ликвидности</w:t>
            </w:r>
          </w:p>
        </w:tc>
        <w:tc>
          <w:tcPr>
            <w:tcW w:w="0" w:type="auto"/>
            <w:hideMark/>
          </w:tcPr>
          <w:p w14:paraId="3D3F07E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2,0</w:t>
            </w:r>
          </w:p>
        </w:tc>
        <w:tc>
          <w:tcPr>
            <w:tcW w:w="0" w:type="auto"/>
            <w:hideMark/>
          </w:tcPr>
          <w:p w14:paraId="361FAAE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0,86</w:t>
            </w:r>
          </w:p>
        </w:tc>
        <w:tc>
          <w:tcPr>
            <w:tcW w:w="0" w:type="auto"/>
            <w:hideMark/>
          </w:tcPr>
          <w:p w14:paraId="77EBFBF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0,85</w:t>
            </w:r>
          </w:p>
        </w:tc>
        <w:tc>
          <w:tcPr>
            <w:tcW w:w="0" w:type="auto"/>
            <w:hideMark/>
          </w:tcPr>
          <w:p w14:paraId="332D23D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0,85</w:t>
            </w:r>
          </w:p>
        </w:tc>
        <w:tc>
          <w:tcPr>
            <w:tcW w:w="0" w:type="auto"/>
            <w:hideMark/>
          </w:tcPr>
          <w:p w14:paraId="65C4E07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Ниже нормы</w:t>
            </w:r>
          </w:p>
        </w:tc>
      </w:tr>
      <w:tr w:rsidR="00EE3BFD" w:rsidRPr="00EE3BFD" w14:paraId="11B1BFC0" w14:textId="77777777" w:rsidTr="00EE3BFD">
        <w:tc>
          <w:tcPr>
            <w:tcW w:w="0" w:type="auto"/>
            <w:hideMark/>
          </w:tcPr>
          <w:p w14:paraId="6E9CDE8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быстрой ликвидности</w:t>
            </w:r>
          </w:p>
        </w:tc>
        <w:tc>
          <w:tcPr>
            <w:tcW w:w="0" w:type="auto"/>
            <w:hideMark/>
          </w:tcPr>
          <w:p w14:paraId="1312980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1,0</w:t>
            </w:r>
          </w:p>
        </w:tc>
        <w:tc>
          <w:tcPr>
            <w:tcW w:w="0" w:type="auto"/>
            <w:hideMark/>
          </w:tcPr>
          <w:p w14:paraId="4B5DE44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1,01</w:t>
            </w:r>
          </w:p>
        </w:tc>
        <w:tc>
          <w:tcPr>
            <w:tcW w:w="0" w:type="auto"/>
            <w:hideMark/>
          </w:tcPr>
          <w:p w14:paraId="6C0B856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1,02</w:t>
            </w:r>
          </w:p>
        </w:tc>
        <w:tc>
          <w:tcPr>
            <w:tcW w:w="0" w:type="auto"/>
            <w:hideMark/>
          </w:tcPr>
          <w:p w14:paraId="1109CC2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1,01</w:t>
            </w:r>
          </w:p>
        </w:tc>
        <w:tc>
          <w:tcPr>
            <w:tcW w:w="0" w:type="auto"/>
            <w:hideMark/>
          </w:tcPr>
          <w:p w14:paraId="3FEA119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Соответствует нормативу</w:t>
            </w:r>
          </w:p>
        </w:tc>
      </w:tr>
      <w:tr w:rsidR="00EE3BFD" w:rsidRPr="00EE3BFD" w14:paraId="272C6010" w14:textId="77777777" w:rsidTr="00EE3BFD">
        <w:tc>
          <w:tcPr>
            <w:tcW w:w="0" w:type="auto"/>
            <w:hideMark/>
          </w:tcPr>
          <w:p w14:paraId="6B15DFD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абсолютной ликвидности</w:t>
            </w:r>
          </w:p>
        </w:tc>
        <w:tc>
          <w:tcPr>
            <w:tcW w:w="0" w:type="auto"/>
            <w:hideMark/>
          </w:tcPr>
          <w:p w14:paraId="4138688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0,2</w:t>
            </w:r>
          </w:p>
        </w:tc>
        <w:tc>
          <w:tcPr>
            <w:tcW w:w="0" w:type="auto"/>
            <w:hideMark/>
          </w:tcPr>
          <w:p w14:paraId="2C0F2351"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0,21</w:t>
            </w:r>
          </w:p>
        </w:tc>
        <w:tc>
          <w:tcPr>
            <w:tcW w:w="0" w:type="auto"/>
            <w:hideMark/>
          </w:tcPr>
          <w:p w14:paraId="5BCAA235"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0,22</w:t>
            </w:r>
          </w:p>
        </w:tc>
        <w:tc>
          <w:tcPr>
            <w:tcW w:w="0" w:type="auto"/>
            <w:hideMark/>
          </w:tcPr>
          <w:p w14:paraId="07BDA58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0,20</w:t>
            </w:r>
          </w:p>
        </w:tc>
        <w:tc>
          <w:tcPr>
            <w:tcW w:w="0" w:type="auto"/>
            <w:hideMark/>
          </w:tcPr>
          <w:p w14:paraId="11849A9E"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Соответствует нормативу</w:t>
            </w:r>
          </w:p>
        </w:tc>
      </w:tr>
      <w:tr w:rsidR="00EE3BFD" w:rsidRPr="00EE3BFD" w14:paraId="2F8DD39E" w14:textId="77777777" w:rsidTr="00EE3BFD">
        <w:tc>
          <w:tcPr>
            <w:tcW w:w="0" w:type="auto"/>
            <w:hideMark/>
          </w:tcPr>
          <w:p w14:paraId="6C6E164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Группа 2. Финансовая устойчивость</w:t>
            </w:r>
          </w:p>
        </w:tc>
        <w:tc>
          <w:tcPr>
            <w:tcW w:w="0" w:type="auto"/>
            <w:hideMark/>
          </w:tcPr>
          <w:p w14:paraId="5659CB81"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4DE0FDBD"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4B730863"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171597CF"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326D8B82"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r>
      <w:tr w:rsidR="00EE3BFD" w:rsidRPr="00EE3BFD" w14:paraId="0AC97B81" w14:textId="77777777" w:rsidTr="00EE3BFD">
        <w:tc>
          <w:tcPr>
            <w:tcW w:w="0" w:type="auto"/>
            <w:hideMark/>
          </w:tcPr>
          <w:p w14:paraId="6EFC229F"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автономии</w:t>
            </w:r>
          </w:p>
        </w:tc>
        <w:tc>
          <w:tcPr>
            <w:tcW w:w="0" w:type="auto"/>
            <w:hideMark/>
          </w:tcPr>
          <w:p w14:paraId="59C91FE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0,5</w:t>
            </w:r>
          </w:p>
        </w:tc>
        <w:tc>
          <w:tcPr>
            <w:tcW w:w="0" w:type="auto"/>
            <w:hideMark/>
          </w:tcPr>
          <w:p w14:paraId="13D8C6CB"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0,15</w:t>
            </w:r>
          </w:p>
        </w:tc>
        <w:tc>
          <w:tcPr>
            <w:tcW w:w="0" w:type="auto"/>
            <w:hideMark/>
          </w:tcPr>
          <w:p w14:paraId="7E4F1B3B"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0,17</w:t>
            </w:r>
          </w:p>
        </w:tc>
        <w:tc>
          <w:tcPr>
            <w:tcW w:w="0" w:type="auto"/>
            <w:hideMark/>
          </w:tcPr>
          <w:p w14:paraId="3BD49D3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0,12</w:t>
            </w:r>
          </w:p>
        </w:tc>
        <w:tc>
          <w:tcPr>
            <w:tcW w:w="0" w:type="auto"/>
            <w:hideMark/>
          </w:tcPr>
          <w:p w14:paraId="669F5D41"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Ниже нормы</w:t>
            </w:r>
          </w:p>
        </w:tc>
      </w:tr>
      <w:tr w:rsidR="00EE3BFD" w:rsidRPr="00EE3BFD" w14:paraId="72251E8D" w14:textId="77777777" w:rsidTr="00EE3BFD">
        <w:tc>
          <w:tcPr>
            <w:tcW w:w="0" w:type="auto"/>
            <w:hideMark/>
          </w:tcPr>
          <w:p w14:paraId="6E93C52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финансовой зависимости</w:t>
            </w:r>
          </w:p>
        </w:tc>
        <w:tc>
          <w:tcPr>
            <w:tcW w:w="0" w:type="auto"/>
            <w:hideMark/>
          </w:tcPr>
          <w:p w14:paraId="35FE3E7B"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0,5</w:t>
            </w:r>
          </w:p>
        </w:tc>
        <w:tc>
          <w:tcPr>
            <w:tcW w:w="0" w:type="auto"/>
            <w:hideMark/>
          </w:tcPr>
          <w:p w14:paraId="75AFD73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0,85</w:t>
            </w:r>
          </w:p>
        </w:tc>
        <w:tc>
          <w:tcPr>
            <w:tcW w:w="0" w:type="auto"/>
            <w:hideMark/>
          </w:tcPr>
          <w:p w14:paraId="75E02D5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0,83</w:t>
            </w:r>
          </w:p>
        </w:tc>
        <w:tc>
          <w:tcPr>
            <w:tcW w:w="0" w:type="auto"/>
            <w:hideMark/>
          </w:tcPr>
          <w:p w14:paraId="34389D8D"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0,88</w:t>
            </w:r>
          </w:p>
        </w:tc>
        <w:tc>
          <w:tcPr>
            <w:tcW w:w="0" w:type="auto"/>
            <w:hideMark/>
          </w:tcPr>
          <w:p w14:paraId="7B010B8D"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Выше нормы</w:t>
            </w:r>
          </w:p>
        </w:tc>
      </w:tr>
      <w:tr w:rsidR="00EE3BFD" w:rsidRPr="00EE3BFD" w14:paraId="366463C9" w14:textId="77777777" w:rsidTr="00EE3BFD">
        <w:tc>
          <w:tcPr>
            <w:tcW w:w="0" w:type="auto"/>
            <w:hideMark/>
          </w:tcPr>
          <w:p w14:paraId="1511EAA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обеспеченности СОС</w:t>
            </w:r>
          </w:p>
        </w:tc>
        <w:tc>
          <w:tcPr>
            <w:tcW w:w="0" w:type="auto"/>
            <w:hideMark/>
          </w:tcPr>
          <w:p w14:paraId="6B63E401"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0,1</w:t>
            </w:r>
          </w:p>
        </w:tc>
        <w:tc>
          <w:tcPr>
            <w:tcW w:w="0" w:type="auto"/>
            <w:hideMark/>
          </w:tcPr>
          <w:p w14:paraId="722EE44F"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-0,21</w:t>
            </w:r>
          </w:p>
        </w:tc>
        <w:tc>
          <w:tcPr>
            <w:tcW w:w="0" w:type="auto"/>
            <w:hideMark/>
          </w:tcPr>
          <w:p w14:paraId="0BF9A4E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-0,24</w:t>
            </w:r>
          </w:p>
        </w:tc>
        <w:tc>
          <w:tcPr>
            <w:tcW w:w="0" w:type="auto"/>
            <w:hideMark/>
          </w:tcPr>
          <w:p w14:paraId="03383C04"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-0,19</w:t>
            </w:r>
          </w:p>
        </w:tc>
        <w:tc>
          <w:tcPr>
            <w:tcW w:w="0" w:type="auto"/>
            <w:hideMark/>
          </w:tcPr>
          <w:p w14:paraId="1F630FDD"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Ниже нормы</w:t>
            </w:r>
          </w:p>
        </w:tc>
      </w:tr>
      <w:tr w:rsidR="00EE3BFD" w:rsidRPr="00EE3BFD" w14:paraId="5B1E13FC" w14:textId="77777777" w:rsidTr="00EE3BFD">
        <w:tc>
          <w:tcPr>
            <w:tcW w:w="0" w:type="auto"/>
            <w:hideMark/>
          </w:tcPr>
          <w:p w14:paraId="4454DFF9"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Группа 3. Деловая активность</w:t>
            </w:r>
          </w:p>
        </w:tc>
        <w:tc>
          <w:tcPr>
            <w:tcW w:w="0" w:type="auto"/>
            <w:hideMark/>
          </w:tcPr>
          <w:p w14:paraId="0721380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206E9BCA"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4E5B5FE9"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227B4B15"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6EFC2B82"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r>
      <w:tr w:rsidR="00EE3BFD" w:rsidRPr="00EE3BFD" w14:paraId="39AD437A" w14:textId="77777777" w:rsidTr="00EE3BFD">
        <w:tc>
          <w:tcPr>
            <w:tcW w:w="0" w:type="auto"/>
            <w:hideMark/>
          </w:tcPr>
          <w:p w14:paraId="2BF18AD5"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Оборачиваемость активов, раз</w:t>
            </w:r>
          </w:p>
        </w:tc>
        <w:tc>
          <w:tcPr>
            <w:tcW w:w="0" w:type="auto"/>
            <w:hideMark/>
          </w:tcPr>
          <w:p w14:paraId="6C67D083"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w:t>
            </w:r>
          </w:p>
        </w:tc>
        <w:tc>
          <w:tcPr>
            <w:tcW w:w="0" w:type="auto"/>
            <w:hideMark/>
          </w:tcPr>
          <w:p w14:paraId="65B72833"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1,74</w:t>
            </w:r>
          </w:p>
        </w:tc>
        <w:tc>
          <w:tcPr>
            <w:tcW w:w="0" w:type="auto"/>
            <w:hideMark/>
          </w:tcPr>
          <w:p w14:paraId="3E8E1B0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2,00</w:t>
            </w:r>
          </w:p>
        </w:tc>
        <w:tc>
          <w:tcPr>
            <w:tcW w:w="0" w:type="auto"/>
            <w:hideMark/>
          </w:tcPr>
          <w:p w14:paraId="6CB0722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1,85</w:t>
            </w:r>
          </w:p>
        </w:tc>
        <w:tc>
          <w:tcPr>
            <w:tcW w:w="0" w:type="auto"/>
            <w:hideMark/>
          </w:tcPr>
          <w:p w14:paraId="48171C8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Высокая</w:t>
            </w:r>
          </w:p>
        </w:tc>
      </w:tr>
      <w:tr w:rsidR="00EE3BFD" w:rsidRPr="00EE3BFD" w14:paraId="5D2AD1A5" w14:textId="77777777" w:rsidTr="00EE3BFD">
        <w:tc>
          <w:tcPr>
            <w:tcW w:w="0" w:type="auto"/>
            <w:hideMark/>
          </w:tcPr>
          <w:p w14:paraId="47026527"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lastRenderedPageBreak/>
              <w:t>Оборачиваемость дебиторской задолженности, дни</w:t>
            </w:r>
          </w:p>
        </w:tc>
        <w:tc>
          <w:tcPr>
            <w:tcW w:w="0" w:type="auto"/>
            <w:hideMark/>
          </w:tcPr>
          <w:p w14:paraId="41EF6E1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w:t>
            </w:r>
          </w:p>
        </w:tc>
        <w:tc>
          <w:tcPr>
            <w:tcW w:w="0" w:type="auto"/>
            <w:hideMark/>
          </w:tcPr>
          <w:p w14:paraId="195F8243"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13</w:t>
            </w:r>
          </w:p>
        </w:tc>
        <w:tc>
          <w:tcPr>
            <w:tcW w:w="0" w:type="auto"/>
            <w:hideMark/>
          </w:tcPr>
          <w:p w14:paraId="0014FB44"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12</w:t>
            </w:r>
          </w:p>
        </w:tc>
        <w:tc>
          <w:tcPr>
            <w:tcW w:w="0" w:type="auto"/>
            <w:hideMark/>
          </w:tcPr>
          <w:p w14:paraId="3FF818A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12</w:t>
            </w:r>
          </w:p>
        </w:tc>
        <w:tc>
          <w:tcPr>
            <w:tcW w:w="0" w:type="auto"/>
            <w:hideMark/>
          </w:tcPr>
          <w:p w14:paraId="2BD673F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Положительная динамика</w:t>
            </w:r>
          </w:p>
        </w:tc>
      </w:tr>
      <w:tr w:rsidR="00EE3BFD" w:rsidRPr="00EE3BFD" w14:paraId="3FEF40FF" w14:textId="77777777" w:rsidTr="00EE3BFD">
        <w:tc>
          <w:tcPr>
            <w:tcW w:w="0" w:type="auto"/>
            <w:hideMark/>
          </w:tcPr>
          <w:p w14:paraId="4EB992C3"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Оборачиваемость кредиторской задолженности, дни</w:t>
            </w:r>
          </w:p>
        </w:tc>
        <w:tc>
          <w:tcPr>
            <w:tcW w:w="0" w:type="auto"/>
            <w:hideMark/>
          </w:tcPr>
          <w:p w14:paraId="40402B4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w:t>
            </w:r>
          </w:p>
        </w:tc>
        <w:tc>
          <w:tcPr>
            <w:tcW w:w="0" w:type="auto"/>
            <w:hideMark/>
          </w:tcPr>
          <w:p w14:paraId="78C997A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56</w:t>
            </w:r>
          </w:p>
        </w:tc>
        <w:tc>
          <w:tcPr>
            <w:tcW w:w="0" w:type="auto"/>
            <w:hideMark/>
          </w:tcPr>
          <w:p w14:paraId="68CC302B"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58</w:t>
            </w:r>
          </w:p>
        </w:tc>
        <w:tc>
          <w:tcPr>
            <w:tcW w:w="0" w:type="auto"/>
            <w:hideMark/>
          </w:tcPr>
          <w:p w14:paraId="7C60D28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60</w:t>
            </w:r>
          </w:p>
        </w:tc>
        <w:tc>
          <w:tcPr>
            <w:tcW w:w="0" w:type="auto"/>
            <w:hideMark/>
          </w:tcPr>
          <w:p w14:paraId="2979C7B5"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Незначительное увеличение</w:t>
            </w:r>
          </w:p>
        </w:tc>
      </w:tr>
      <w:tr w:rsidR="00EE3BFD" w:rsidRPr="00EE3BFD" w14:paraId="7FD1094E" w14:textId="77777777" w:rsidTr="00EE3BFD">
        <w:tc>
          <w:tcPr>
            <w:tcW w:w="0" w:type="auto"/>
            <w:hideMark/>
          </w:tcPr>
          <w:p w14:paraId="589D531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b/>
                <w:bCs/>
                <w:sz w:val="28"/>
                <w:szCs w:val="28"/>
                <w:lang w:eastAsia="ru-RU"/>
              </w:rPr>
              <w:t>Группа 4. Рентабельность</w:t>
            </w:r>
          </w:p>
        </w:tc>
        <w:tc>
          <w:tcPr>
            <w:tcW w:w="0" w:type="auto"/>
            <w:hideMark/>
          </w:tcPr>
          <w:p w14:paraId="2689C578"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0E6948D7"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781C151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68618A36"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c>
          <w:tcPr>
            <w:tcW w:w="0" w:type="auto"/>
            <w:hideMark/>
          </w:tcPr>
          <w:p w14:paraId="010033D4" w14:textId="77777777" w:rsidR="00EE3BFD" w:rsidRPr="00EE3BFD" w:rsidRDefault="00EE3BFD" w:rsidP="00EE3BFD">
            <w:pPr>
              <w:spacing w:line="360" w:lineRule="auto"/>
              <w:ind w:firstLine="851"/>
              <w:jc w:val="both"/>
              <w:rPr>
                <w:rFonts w:ascii="Times New Roman" w:eastAsia="Times New Roman" w:hAnsi="Times New Roman" w:cs="Times New Roman"/>
                <w:sz w:val="28"/>
                <w:szCs w:val="28"/>
                <w:lang w:eastAsia="ru-RU"/>
              </w:rPr>
            </w:pPr>
          </w:p>
        </w:tc>
      </w:tr>
      <w:tr w:rsidR="00EE3BFD" w:rsidRPr="00EE3BFD" w14:paraId="68F24D70" w14:textId="77777777" w:rsidTr="00EE3BFD">
        <w:tc>
          <w:tcPr>
            <w:tcW w:w="0" w:type="auto"/>
            <w:hideMark/>
          </w:tcPr>
          <w:p w14:paraId="115EE58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ROA, %</w:t>
            </w:r>
          </w:p>
        </w:tc>
        <w:tc>
          <w:tcPr>
            <w:tcW w:w="0" w:type="auto"/>
            <w:hideMark/>
          </w:tcPr>
          <w:p w14:paraId="0097681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&gt; 0</w:t>
            </w:r>
          </w:p>
        </w:tc>
        <w:tc>
          <w:tcPr>
            <w:tcW w:w="0" w:type="auto"/>
            <w:hideMark/>
          </w:tcPr>
          <w:p w14:paraId="4B813F94"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4,7</w:t>
            </w:r>
          </w:p>
        </w:tc>
        <w:tc>
          <w:tcPr>
            <w:tcW w:w="0" w:type="auto"/>
            <w:hideMark/>
          </w:tcPr>
          <w:p w14:paraId="3870E8F5"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3,4</w:t>
            </w:r>
          </w:p>
        </w:tc>
        <w:tc>
          <w:tcPr>
            <w:tcW w:w="0" w:type="auto"/>
            <w:hideMark/>
          </w:tcPr>
          <w:p w14:paraId="5EA5DC4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-1,4</w:t>
            </w:r>
          </w:p>
        </w:tc>
        <w:tc>
          <w:tcPr>
            <w:tcW w:w="0" w:type="auto"/>
            <w:hideMark/>
          </w:tcPr>
          <w:p w14:paraId="1C00E23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Отрицательная динамика</w:t>
            </w:r>
          </w:p>
        </w:tc>
      </w:tr>
      <w:tr w:rsidR="00EE3BFD" w:rsidRPr="00EE3BFD" w14:paraId="5AA03403" w14:textId="77777777" w:rsidTr="00EE3BFD">
        <w:tc>
          <w:tcPr>
            <w:tcW w:w="0" w:type="auto"/>
            <w:hideMark/>
          </w:tcPr>
          <w:p w14:paraId="3291A12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ROE, %</w:t>
            </w:r>
          </w:p>
        </w:tc>
        <w:tc>
          <w:tcPr>
            <w:tcW w:w="0" w:type="auto"/>
            <w:hideMark/>
          </w:tcPr>
          <w:p w14:paraId="17DFF205"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&gt; 0</w:t>
            </w:r>
          </w:p>
        </w:tc>
        <w:tc>
          <w:tcPr>
            <w:tcW w:w="0" w:type="auto"/>
            <w:hideMark/>
          </w:tcPr>
          <w:p w14:paraId="05545AA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30,8</w:t>
            </w:r>
          </w:p>
        </w:tc>
        <w:tc>
          <w:tcPr>
            <w:tcW w:w="0" w:type="auto"/>
            <w:hideMark/>
          </w:tcPr>
          <w:p w14:paraId="10273C73"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20,6</w:t>
            </w:r>
          </w:p>
        </w:tc>
        <w:tc>
          <w:tcPr>
            <w:tcW w:w="0" w:type="auto"/>
            <w:hideMark/>
          </w:tcPr>
          <w:p w14:paraId="4C46B19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-11,1</w:t>
            </w:r>
          </w:p>
        </w:tc>
        <w:tc>
          <w:tcPr>
            <w:tcW w:w="0" w:type="auto"/>
            <w:hideMark/>
          </w:tcPr>
          <w:p w14:paraId="4F17AEF8"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Отрицательная динамика</w:t>
            </w:r>
          </w:p>
        </w:tc>
      </w:tr>
      <w:tr w:rsidR="00EE3BFD" w:rsidRPr="00EE3BFD" w14:paraId="4F9F5216" w14:textId="77777777" w:rsidTr="00EE3BFD">
        <w:tc>
          <w:tcPr>
            <w:tcW w:w="0" w:type="auto"/>
            <w:hideMark/>
          </w:tcPr>
          <w:p w14:paraId="4EF841B6"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ROS, %</w:t>
            </w:r>
          </w:p>
        </w:tc>
        <w:tc>
          <w:tcPr>
            <w:tcW w:w="0" w:type="auto"/>
            <w:hideMark/>
          </w:tcPr>
          <w:p w14:paraId="24FDCF2A"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&gt; 0</w:t>
            </w:r>
          </w:p>
        </w:tc>
        <w:tc>
          <w:tcPr>
            <w:tcW w:w="0" w:type="auto"/>
            <w:hideMark/>
          </w:tcPr>
          <w:p w14:paraId="38015540"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5,1</w:t>
            </w:r>
          </w:p>
        </w:tc>
        <w:tc>
          <w:tcPr>
            <w:tcW w:w="0" w:type="auto"/>
            <w:hideMark/>
          </w:tcPr>
          <w:p w14:paraId="26304DAC"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4,7</w:t>
            </w:r>
          </w:p>
        </w:tc>
        <w:tc>
          <w:tcPr>
            <w:tcW w:w="0" w:type="auto"/>
            <w:hideMark/>
          </w:tcPr>
          <w:p w14:paraId="262075A9"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4,5</w:t>
            </w:r>
          </w:p>
        </w:tc>
        <w:tc>
          <w:tcPr>
            <w:tcW w:w="0" w:type="auto"/>
            <w:hideMark/>
          </w:tcPr>
          <w:p w14:paraId="464E9462" w14:textId="77777777" w:rsidR="00EE3BFD" w:rsidRPr="00EE3BFD" w:rsidRDefault="00EE3BFD" w:rsidP="00EE3BFD">
            <w:pPr>
              <w:spacing w:line="360" w:lineRule="auto"/>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Снижение</w:t>
            </w:r>
          </w:p>
        </w:tc>
      </w:tr>
    </w:tbl>
    <w:p w14:paraId="27716CD2"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Анализ ликвидности</w:t>
      </w:r>
    </w:p>
    <w:p w14:paraId="45687361"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Показатели ликвидности характеризуют способность организации своевременно выполнять свои краткосрочные обязательства. Коэффициент текущей ликвидности в течение всего анализируемого периода находился ниже рекомендуемого значения, что свидетельствует о недостаточности оборотных активов для полного покрытия краткосрочных обязательств.</w:t>
      </w:r>
    </w:p>
    <w:p w14:paraId="531F27D4"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В то же время коэффициенты быстрой и абсолютной ликвидности соответствуют нормативным значениям. Это позволяет сделать вывод о том, что предприятие обладает достаточным объёмом наиболее ликвидных активов для своевременного выполнения текущих обязательств.</w:t>
      </w:r>
    </w:p>
    <w:p w14:paraId="6D47D6D1"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Анализ финансовой устойчивости</w:t>
      </w:r>
    </w:p>
    <w:p w14:paraId="7808F1DB"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Коэффициент автономии существенно ниже нормативного значения, что свидетельствует о высокой зависимости организации от привлечённых источников финансирования. Коэффициент финансовой зависимости подтверждает данный вывод.</w:t>
      </w:r>
    </w:p>
    <w:p w14:paraId="0A3347FC"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 xml:space="preserve">Отрицательное значение коэффициента обеспеченности собственными оборотными средствами указывает на недостаток собственных ресурсов для </w:t>
      </w:r>
      <w:r w:rsidRPr="00EE3BFD">
        <w:rPr>
          <w:rFonts w:ascii="Times New Roman" w:eastAsia="Times New Roman" w:hAnsi="Times New Roman" w:cs="Times New Roman"/>
          <w:sz w:val="28"/>
          <w:szCs w:val="28"/>
          <w:lang w:eastAsia="ru-RU"/>
        </w:rPr>
        <w:lastRenderedPageBreak/>
        <w:t>финансирования текущей деятельности. В результате предприятие вынуждено активно использовать заёмные средства.</w:t>
      </w:r>
    </w:p>
    <w:p w14:paraId="6C5D57E6"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Анализ деловой активности</w:t>
      </w:r>
    </w:p>
    <w:p w14:paraId="54020C16"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Показатели деловой активности находятся на достаточно высоком уровне. Высокая оборачиваемость активов свидетельствует об эффективном использовании имущественного комплекса предприятия. Срок погашения дебиторской задолженности остаётся низким, что положительно характеризует систему расчётов с покупателями.</w:t>
      </w:r>
    </w:p>
    <w:p w14:paraId="6D9699CE"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Незначительное увеличение периода погашения кредиторской задолженности связано с использованием компанией коммерческого кредита поставщиков как одного из источников финансирования оборотного капитала.</w:t>
      </w:r>
    </w:p>
    <w:p w14:paraId="459770AB"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Анализ рентабельности</w:t>
      </w:r>
    </w:p>
    <w:p w14:paraId="5DCA1B46"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Несмотря на сохранение положительного уровня рентабельности продаж, наблюдается ухудшение показателей рентабельности активов и собственного капитала. Основной причиной является снижение чистой прибыли предприятия и получение убытка по итогам 2025 года.</w:t>
      </w:r>
    </w:p>
    <w:p w14:paraId="2D852D63" w14:textId="77777777" w:rsidR="00EE3BFD" w:rsidRPr="00EE3BFD" w:rsidRDefault="00EE3BFD" w:rsidP="00EE3BFD">
      <w:pPr>
        <w:spacing w:after="0" w:line="360" w:lineRule="auto"/>
        <w:ind w:firstLine="851"/>
        <w:jc w:val="both"/>
        <w:outlineLvl w:val="1"/>
        <w:rPr>
          <w:rFonts w:ascii="Times New Roman" w:eastAsia="Times New Roman" w:hAnsi="Times New Roman" w:cs="Times New Roman"/>
          <w:b/>
          <w:bCs/>
          <w:sz w:val="28"/>
          <w:szCs w:val="28"/>
          <w:lang w:eastAsia="ru-RU"/>
        </w:rPr>
      </w:pPr>
      <w:r w:rsidRPr="00EE3BFD">
        <w:rPr>
          <w:rFonts w:ascii="Times New Roman" w:eastAsia="Times New Roman" w:hAnsi="Times New Roman" w:cs="Times New Roman"/>
          <w:b/>
          <w:bCs/>
          <w:sz w:val="28"/>
          <w:szCs w:val="28"/>
          <w:lang w:eastAsia="ru-RU"/>
        </w:rPr>
        <w:t>Вывод по разделу</w:t>
      </w:r>
    </w:p>
    <w:p w14:paraId="692B0A73" w14:textId="77777777" w:rsidR="00EE3BFD" w:rsidRPr="00EE3BFD" w:rsidRDefault="00EE3BFD" w:rsidP="00EE3BFD">
      <w:pPr>
        <w:spacing w:after="0" w:line="360" w:lineRule="auto"/>
        <w:ind w:firstLine="851"/>
        <w:jc w:val="both"/>
        <w:rPr>
          <w:rFonts w:ascii="Times New Roman" w:eastAsia="Times New Roman" w:hAnsi="Times New Roman" w:cs="Times New Roman"/>
          <w:sz w:val="28"/>
          <w:szCs w:val="28"/>
          <w:lang w:eastAsia="ru-RU"/>
        </w:rPr>
      </w:pPr>
      <w:r w:rsidRPr="00EE3BFD">
        <w:rPr>
          <w:rFonts w:ascii="Times New Roman" w:eastAsia="Times New Roman" w:hAnsi="Times New Roman" w:cs="Times New Roman"/>
          <w:sz w:val="28"/>
          <w:szCs w:val="28"/>
          <w:lang w:eastAsia="ru-RU"/>
        </w:rPr>
        <w:t>Финансовое состояние АО «Тандер» можно охарактеризовать как удовлетворительное. Предприятие сохраняет высокий уровень деловой активности и обладает достаточной ликвидностью для осуществления текущей деятельности. Вместе с тем выявлены проблемы финансовой устойчивости, связанные с высокой долей заёмного капитала и недостатком собственных оборотных средств. Кроме того, отрицательная динамика показателей рентабельности свидетельствует о необходимости повышения эффективности управления затратами и финансовыми ресурсами.</w:t>
      </w:r>
    </w:p>
    <w:p w14:paraId="3FBDF407" w14:textId="77777777" w:rsidR="00EE3BFD" w:rsidRDefault="00EE3BFD">
      <w:pPr>
        <w:rPr>
          <w:rFonts w:ascii="Times New Roman" w:eastAsia="Times New Roman" w:hAnsi="Times New Roman" w:cs="Times New Roman"/>
          <w:b/>
          <w:bCs/>
          <w:kern w:val="36"/>
          <w:sz w:val="36"/>
          <w:szCs w:val="36"/>
          <w:lang w:eastAsia="ru-RU"/>
        </w:rPr>
      </w:pPr>
      <w:r>
        <w:rPr>
          <w:sz w:val="36"/>
          <w:szCs w:val="36"/>
        </w:rPr>
        <w:br w:type="page"/>
      </w:r>
    </w:p>
    <w:p w14:paraId="176D4FE8" w14:textId="28CF9CC5" w:rsidR="00EE3BFD" w:rsidRPr="00EE3BFD" w:rsidRDefault="00EE3BFD" w:rsidP="00EE3BFD">
      <w:pPr>
        <w:pStyle w:val="1"/>
        <w:spacing w:before="0" w:beforeAutospacing="0" w:after="0" w:afterAutospacing="0" w:line="360" w:lineRule="auto"/>
        <w:ind w:firstLine="851"/>
        <w:jc w:val="both"/>
        <w:rPr>
          <w:sz w:val="36"/>
          <w:szCs w:val="36"/>
        </w:rPr>
      </w:pPr>
      <w:r w:rsidRPr="00EE3BFD">
        <w:rPr>
          <w:sz w:val="36"/>
          <w:szCs w:val="36"/>
        </w:rPr>
        <w:lastRenderedPageBreak/>
        <w:t>Раздел 5. Обобщающие выводы и проблемное поле</w:t>
      </w:r>
    </w:p>
    <w:p w14:paraId="579F3ADE"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Проведённый анализ финансово-хозяйственной деятельности АО «Тандер» позволил оценить текущее состояние предприятия, выявить основные тенденции развития и определить ключевые проблемы, требующие внимания со стороны руководства организации.</w:t>
      </w:r>
    </w:p>
    <w:p w14:paraId="12A22A59"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По результатам анализа можно выделить ряд сильных сторон предприятия. В первую очередь следует отметить устойчивый рост масштабов деятельности компании. За период с 2023 по 2025 год выручка увеличилась с 2 314,4 млрд руб. до 3 050,0 млрд руб., что свидетельствует о расширении бизнеса и сохранении конкурентоспособности на рынке розничной торговли. Положительной тенденцией также является увеличение валюты баланса на 24,3 %, что указывает на рост имущественного потенциала организации.</w:t>
      </w:r>
    </w:p>
    <w:p w14:paraId="723F47AF"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Важным преимуществом предприятия является высокий уровень деловой активности. Коэффициент оборачиваемости активов на протяжении анализируемого периода находился в диапазоне от 1,74 до 2,00 оборотов в год, что свидетельствует об эффективном использовании имеющихся ресурсов. Срок погашения дебиторской задолженности сохранялся на низком уровне и составлял около 12–13 дней, что положительно характеризует систему расчётов с покупателями и качество управления дебиторской задолженностью.</w:t>
      </w:r>
    </w:p>
    <w:p w14:paraId="00ADFCFD"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Анализ ликвидности показал, что коэффициент быстрой ликвидности находился на уровне 1,01–1,02, а коэффициент абсолютной ликвидности — на уровне 0,20–0,22, что соответствует рекомендуемым нормативным значениям. Это позволяет сделать вывод о наличии у предприятия достаточного объёма наиболее ликвидных активов для выполнения текущих обязательств.</w:t>
      </w:r>
    </w:p>
    <w:p w14:paraId="2DCF257E"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 xml:space="preserve">Наряду с положительными тенденциями были выявлены и проблемные аспекты финансово-хозяйственной деятельности предприятия. Наиболее существенной проблемой является высокая зависимость организации от привлечённых источников финансирования. Коэффициент автономии в течение всего анализируемого периода находился значительно ниже </w:t>
      </w:r>
      <w:r w:rsidRPr="00EE3BFD">
        <w:rPr>
          <w:sz w:val="28"/>
          <w:szCs w:val="28"/>
        </w:rPr>
        <w:lastRenderedPageBreak/>
        <w:t>нормативного значения 0,5 и составлял от 0,12 до 0,17. Это свидетельствует о недостаточной доле собственного капитала в структуре источников финансирования.</w:t>
      </w:r>
    </w:p>
    <w:p w14:paraId="7EDE135C"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Дополнительным негативным фактором является отрицательное значение коэффициента обеспеченности собственными оборотными средствами, который находился в пределах от -0,24 до -0,19 при нормативе не менее 0,1. Данная ситуация указывает на недостаток собственных ресурсов для финансирования текущей деятельности и повышенную зависимость предприятия от внешних кредиторов.</w:t>
      </w:r>
    </w:p>
    <w:p w14:paraId="2899ABCB"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Особого внимания заслуживает ухудшение итоговых финансовых результатов компании. Несмотря на рост выручки и прибыли от продаж, чистая прибыль предприятия снизилась с 62,9 млрд руб. в 2023 году до убытка в размере 22,5 млрд руб. по итогам 2025 года. Это свидетельствует о наличии факторов, оказывающих негативное влияние на конечный финансовый результат, в том числе роста финансовых расходов и увеличения стоимости привлечённого капитала.</w:t>
      </w:r>
    </w:p>
    <w:p w14:paraId="2A605441" w14:textId="77777777" w:rsidR="00EE3BFD" w:rsidRPr="00EE3BFD" w:rsidRDefault="00EE3BFD" w:rsidP="00EE3BFD">
      <w:pPr>
        <w:pStyle w:val="isselectedend"/>
        <w:spacing w:before="0" w:beforeAutospacing="0" w:after="0" w:afterAutospacing="0" w:line="360" w:lineRule="auto"/>
        <w:ind w:firstLine="851"/>
        <w:jc w:val="both"/>
        <w:rPr>
          <w:sz w:val="28"/>
          <w:szCs w:val="28"/>
        </w:rPr>
      </w:pPr>
      <w:r w:rsidRPr="00EE3BFD">
        <w:rPr>
          <w:sz w:val="28"/>
          <w:szCs w:val="28"/>
        </w:rPr>
        <w:t>Также отмечается снижение показателей рентабельности. Рентабельность продаж сократилась с 5,11 % до 4,55 %, рентабельность активов снизилась до отрицательного значения, а рентабельность собственного капитала по итогам 2025 года составила -11,1 %. Указанные тенденции свидетельствуют о снижении эффективности использования ресурсов предприятия.</w:t>
      </w:r>
    </w:p>
    <w:p w14:paraId="4C8CFC5B" w14:textId="77777777" w:rsidR="00EE3BFD" w:rsidRPr="00EE3BFD" w:rsidRDefault="00EE3BFD" w:rsidP="00EE3BFD">
      <w:pPr>
        <w:pStyle w:val="a3"/>
        <w:spacing w:before="0" w:beforeAutospacing="0" w:after="0" w:afterAutospacing="0" w:line="360" w:lineRule="auto"/>
        <w:ind w:firstLine="851"/>
        <w:jc w:val="both"/>
        <w:rPr>
          <w:sz w:val="28"/>
          <w:szCs w:val="28"/>
        </w:rPr>
      </w:pPr>
      <w:r w:rsidRPr="00EE3BFD">
        <w:rPr>
          <w:sz w:val="28"/>
          <w:szCs w:val="28"/>
        </w:rPr>
        <w:t xml:space="preserve">На основании проведённого анализа можно сформулировать проблемное поле для дальнейшего исследования в рамках выпускной квалификационной работы. Несмотря на устойчивый рост выручки и расширение масштабов деятельности, АО «Тандер» сталкивается с проблемой снижения эффективности финансово-хозяйственной деятельности, выражающейся в ухудшении показателей рентабельности и получении чистого убытка. Существенное влияние на финансовое состояние оказывает высокая зависимость предприятия от заёмных источников финансирования и </w:t>
      </w:r>
      <w:r w:rsidRPr="00EE3BFD">
        <w:rPr>
          <w:sz w:val="28"/>
          <w:szCs w:val="28"/>
        </w:rPr>
        <w:lastRenderedPageBreak/>
        <w:t>недостаточная обеспеченность собственными оборотными средствами. В качестве направления совершенствования деятельности предприятия целесообразно рассматривать внедрение современных цифровых инструментов управления бизнес-процессами, систем аналитики данных и технологий прогнозирования спроса, направленных на повышение эффективности использования ресурсов и снижение операционных затрат. Исследование указанных вопросов может стать основой выпускной квалификационной работы по направлению «Бизнес-информатика».</w:t>
      </w:r>
    </w:p>
    <w:p w14:paraId="05BAB45A" w14:textId="77777777" w:rsidR="00CD720D" w:rsidRDefault="00CD720D">
      <w:pPr>
        <w:rPr>
          <w:rFonts w:ascii="Times New Roman" w:eastAsia="Times New Roman" w:hAnsi="Times New Roman" w:cs="Times New Roman"/>
          <w:b/>
          <w:bCs/>
          <w:kern w:val="36"/>
          <w:sz w:val="28"/>
          <w:szCs w:val="28"/>
          <w:lang w:eastAsia="ru-RU"/>
        </w:rPr>
      </w:pPr>
      <w:r>
        <w:rPr>
          <w:sz w:val="28"/>
          <w:szCs w:val="28"/>
        </w:rPr>
        <w:br w:type="page"/>
      </w:r>
    </w:p>
    <w:p w14:paraId="6778E981" w14:textId="4B4DE0ED" w:rsidR="00EE3BFD" w:rsidRPr="00CD720D" w:rsidRDefault="00EE3BFD" w:rsidP="00CD720D">
      <w:pPr>
        <w:pStyle w:val="1"/>
        <w:spacing w:before="0" w:beforeAutospacing="0" w:after="0" w:afterAutospacing="0" w:line="360" w:lineRule="auto"/>
        <w:jc w:val="both"/>
        <w:rPr>
          <w:sz w:val="36"/>
          <w:szCs w:val="36"/>
        </w:rPr>
      </w:pPr>
      <w:r w:rsidRPr="00CD720D">
        <w:rPr>
          <w:sz w:val="36"/>
          <w:szCs w:val="36"/>
        </w:rPr>
        <w:lastRenderedPageBreak/>
        <w:t>Список использованных источников</w:t>
      </w:r>
    </w:p>
    <w:p w14:paraId="24A2E8AF" w14:textId="77777777" w:rsidR="00EE3BFD" w:rsidRPr="00CD720D" w:rsidRDefault="00EE3BFD" w:rsidP="00CD720D">
      <w:pPr>
        <w:numPr>
          <w:ilvl w:val="0"/>
          <w:numId w:val="1"/>
        </w:numPr>
        <w:spacing w:after="0" w:line="360" w:lineRule="auto"/>
        <w:jc w:val="both"/>
        <w:rPr>
          <w:rFonts w:ascii="Times New Roman" w:hAnsi="Times New Roman" w:cs="Times New Roman"/>
          <w:sz w:val="28"/>
          <w:szCs w:val="28"/>
        </w:rPr>
      </w:pPr>
      <w:r w:rsidRPr="00CD720D">
        <w:rPr>
          <w:rFonts w:ascii="Times New Roman" w:hAnsi="Times New Roman" w:cs="Times New Roman"/>
          <w:sz w:val="28"/>
          <w:szCs w:val="28"/>
        </w:rPr>
        <w:t>Гражданский кодекс Российской Федерации (часть первая) от 30.11.1994 № 51-ФЗ (ред. от 08.08.2024) // Собрание законодательства РФ. – 1994. – № 32. – Ст. 3301.</w:t>
      </w:r>
    </w:p>
    <w:p w14:paraId="18C54DDB" w14:textId="77777777" w:rsidR="00EE3BFD" w:rsidRPr="00CD720D" w:rsidRDefault="00EE3BFD" w:rsidP="00CD720D">
      <w:pPr>
        <w:numPr>
          <w:ilvl w:val="0"/>
          <w:numId w:val="1"/>
        </w:numPr>
        <w:spacing w:after="0" w:line="360" w:lineRule="auto"/>
        <w:jc w:val="both"/>
        <w:rPr>
          <w:rFonts w:ascii="Times New Roman" w:hAnsi="Times New Roman" w:cs="Times New Roman"/>
          <w:sz w:val="28"/>
          <w:szCs w:val="28"/>
        </w:rPr>
      </w:pPr>
      <w:r w:rsidRPr="00CD720D">
        <w:rPr>
          <w:rFonts w:ascii="Times New Roman" w:hAnsi="Times New Roman" w:cs="Times New Roman"/>
          <w:sz w:val="28"/>
          <w:szCs w:val="28"/>
        </w:rPr>
        <w:t>Федеральный закон от 06.12.2011 № 402-ФЗ «О бухгалтерском учёте» (ред. от 25.12.2023) // Собрание законодательства РФ. – 2011. – № 50. – Ст. 7344.</w:t>
      </w:r>
    </w:p>
    <w:p w14:paraId="64487A96" w14:textId="77777777" w:rsidR="00EE3BFD" w:rsidRPr="00CD720D" w:rsidRDefault="00EE3BFD" w:rsidP="00CD720D">
      <w:pPr>
        <w:numPr>
          <w:ilvl w:val="0"/>
          <w:numId w:val="1"/>
        </w:numPr>
        <w:spacing w:after="0" w:line="360" w:lineRule="auto"/>
        <w:jc w:val="both"/>
        <w:rPr>
          <w:rFonts w:ascii="Times New Roman" w:hAnsi="Times New Roman" w:cs="Times New Roman"/>
          <w:sz w:val="28"/>
          <w:szCs w:val="28"/>
        </w:rPr>
      </w:pPr>
      <w:r w:rsidRPr="00CD720D">
        <w:rPr>
          <w:rFonts w:ascii="Times New Roman" w:hAnsi="Times New Roman" w:cs="Times New Roman"/>
          <w:sz w:val="28"/>
          <w:szCs w:val="28"/>
        </w:rPr>
        <w:t xml:space="preserve">Официальный сайт ПАО «Магнит». – Режим доступа: </w:t>
      </w:r>
      <w:hyperlink r:id="rId6" w:history="1">
        <w:r w:rsidRPr="00CD720D">
          <w:rPr>
            <w:rStyle w:val="a8"/>
            <w:rFonts w:ascii="Times New Roman" w:hAnsi="Times New Roman" w:cs="Times New Roman"/>
            <w:sz w:val="28"/>
            <w:szCs w:val="28"/>
          </w:rPr>
          <w:t>https://magnit.com</w:t>
        </w:r>
      </w:hyperlink>
      <w:r w:rsidRPr="00CD720D">
        <w:rPr>
          <w:rFonts w:ascii="Times New Roman" w:hAnsi="Times New Roman" w:cs="Times New Roman"/>
          <w:sz w:val="28"/>
          <w:szCs w:val="28"/>
        </w:rPr>
        <w:t xml:space="preserve"> (дата обращения: 13.06.2026).</w:t>
      </w:r>
    </w:p>
    <w:p w14:paraId="4B93B6E4" w14:textId="77777777" w:rsidR="00EE3BFD" w:rsidRPr="00CD720D" w:rsidRDefault="00EE3BFD" w:rsidP="00CD720D">
      <w:pPr>
        <w:numPr>
          <w:ilvl w:val="0"/>
          <w:numId w:val="1"/>
        </w:numPr>
        <w:spacing w:after="0" w:line="360" w:lineRule="auto"/>
        <w:jc w:val="both"/>
        <w:rPr>
          <w:rFonts w:ascii="Times New Roman" w:hAnsi="Times New Roman" w:cs="Times New Roman"/>
          <w:sz w:val="28"/>
          <w:szCs w:val="28"/>
        </w:rPr>
      </w:pPr>
      <w:r w:rsidRPr="00CD720D">
        <w:rPr>
          <w:rFonts w:ascii="Times New Roman" w:hAnsi="Times New Roman" w:cs="Times New Roman"/>
          <w:sz w:val="28"/>
          <w:szCs w:val="28"/>
        </w:rPr>
        <w:t xml:space="preserve">Бухгалтерская (финансовая) отчётность АО «Тандер» за 2023–2025 гг. – Режим доступа: </w:t>
      </w:r>
      <w:hyperlink r:id="rId7" w:history="1">
        <w:r w:rsidRPr="00CD720D">
          <w:rPr>
            <w:rStyle w:val="a8"/>
            <w:rFonts w:ascii="Times New Roman" w:hAnsi="Times New Roman" w:cs="Times New Roman"/>
            <w:sz w:val="28"/>
            <w:szCs w:val="28"/>
          </w:rPr>
          <w:t>https://bo.nalog.gov.ru</w:t>
        </w:r>
      </w:hyperlink>
      <w:r w:rsidRPr="00CD720D">
        <w:rPr>
          <w:rFonts w:ascii="Times New Roman" w:hAnsi="Times New Roman" w:cs="Times New Roman"/>
          <w:sz w:val="28"/>
          <w:szCs w:val="28"/>
        </w:rPr>
        <w:t xml:space="preserve"> (дата обращения: 13.06.2026).</w:t>
      </w:r>
    </w:p>
    <w:p w14:paraId="7CDC1FF7" w14:textId="77777777" w:rsidR="00EE3BFD" w:rsidRPr="00CD720D" w:rsidRDefault="00EE3BFD" w:rsidP="00CD720D">
      <w:pPr>
        <w:numPr>
          <w:ilvl w:val="0"/>
          <w:numId w:val="1"/>
        </w:numPr>
        <w:spacing w:after="0" w:line="360" w:lineRule="auto"/>
        <w:jc w:val="both"/>
        <w:rPr>
          <w:rFonts w:ascii="Times New Roman" w:hAnsi="Times New Roman" w:cs="Times New Roman"/>
          <w:sz w:val="28"/>
          <w:szCs w:val="28"/>
        </w:rPr>
      </w:pPr>
      <w:r w:rsidRPr="00CD720D">
        <w:rPr>
          <w:rFonts w:ascii="Times New Roman" w:hAnsi="Times New Roman" w:cs="Times New Roman"/>
          <w:sz w:val="28"/>
          <w:szCs w:val="28"/>
        </w:rPr>
        <w:t xml:space="preserve">Сервис анализа финансового состояния организаций </w:t>
      </w:r>
      <w:proofErr w:type="spellStart"/>
      <w:r w:rsidRPr="00CD720D">
        <w:rPr>
          <w:rFonts w:ascii="Times New Roman" w:hAnsi="Times New Roman" w:cs="Times New Roman"/>
          <w:sz w:val="28"/>
          <w:szCs w:val="28"/>
        </w:rPr>
        <w:t>Audit</w:t>
      </w:r>
      <w:proofErr w:type="spellEnd"/>
      <w:r w:rsidRPr="00CD720D">
        <w:rPr>
          <w:rFonts w:ascii="Times New Roman" w:hAnsi="Times New Roman" w:cs="Times New Roman"/>
          <w:sz w:val="28"/>
          <w:szCs w:val="28"/>
        </w:rPr>
        <w:t xml:space="preserve">-IT (Финансовый анализ организаций). – Режим доступа: </w:t>
      </w:r>
      <w:hyperlink r:id="rId8" w:history="1">
        <w:r w:rsidRPr="00CD720D">
          <w:rPr>
            <w:rStyle w:val="a8"/>
            <w:rFonts w:ascii="Times New Roman" w:hAnsi="Times New Roman" w:cs="Times New Roman"/>
            <w:sz w:val="28"/>
            <w:szCs w:val="28"/>
          </w:rPr>
          <w:t>https://finmozg.ru/finan_demo/index.html?r=720089241</w:t>
        </w:r>
      </w:hyperlink>
      <w:r w:rsidRPr="00CD720D">
        <w:rPr>
          <w:rFonts w:ascii="Times New Roman" w:hAnsi="Times New Roman" w:cs="Times New Roman"/>
          <w:sz w:val="28"/>
          <w:szCs w:val="28"/>
        </w:rPr>
        <w:t xml:space="preserve"> (дата обращения: 13.06.2026).</w:t>
      </w:r>
    </w:p>
    <w:p w14:paraId="23C35073" w14:textId="77777777" w:rsidR="00EE3BFD" w:rsidRPr="00CD720D" w:rsidRDefault="00EE3BFD" w:rsidP="00CD720D">
      <w:pPr>
        <w:numPr>
          <w:ilvl w:val="0"/>
          <w:numId w:val="1"/>
        </w:numPr>
        <w:spacing w:after="0" w:line="360" w:lineRule="auto"/>
        <w:jc w:val="both"/>
        <w:rPr>
          <w:rFonts w:ascii="Times New Roman" w:hAnsi="Times New Roman" w:cs="Times New Roman"/>
          <w:sz w:val="28"/>
          <w:szCs w:val="28"/>
        </w:rPr>
      </w:pPr>
      <w:r w:rsidRPr="00CD720D">
        <w:rPr>
          <w:rFonts w:ascii="Times New Roman" w:hAnsi="Times New Roman" w:cs="Times New Roman"/>
          <w:sz w:val="28"/>
          <w:szCs w:val="28"/>
        </w:rPr>
        <w:t xml:space="preserve">Финансовая информация об АО «Тандер». – Режим доступа: </w:t>
      </w:r>
      <w:hyperlink r:id="rId9" w:history="1">
        <w:r w:rsidRPr="00CD720D">
          <w:rPr>
            <w:rStyle w:val="a8"/>
            <w:rFonts w:ascii="Times New Roman" w:hAnsi="Times New Roman" w:cs="Times New Roman"/>
            <w:sz w:val="28"/>
            <w:szCs w:val="28"/>
          </w:rPr>
          <w:t>https://synapsenet.ru</w:t>
        </w:r>
      </w:hyperlink>
      <w:r w:rsidRPr="00CD720D">
        <w:rPr>
          <w:rFonts w:ascii="Times New Roman" w:hAnsi="Times New Roman" w:cs="Times New Roman"/>
          <w:sz w:val="28"/>
          <w:szCs w:val="28"/>
        </w:rPr>
        <w:t xml:space="preserve"> (дата обращения: 13.06.2026).</w:t>
      </w:r>
    </w:p>
    <w:p w14:paraId="6E6D3A0C" w14:textId="7688EC4E" w:rsidR="00CD720D" w:rsidRDefault="00CD720D">
      <w:r>
        <w:br w:type="page"/>
      </w:r>
    </w:p>
    <w:p w14:paraId="7F8E6EDF" w14:textId="16405D8C" w:rsidR="00CD720D" w:rsidRDefault="00CD720D" w:rsidP="00CD720D">
      <w:pPr>
        <w:pStyle w:val="1"/>
        <w:spacing w:before="0" w:beforeAutospacing="0" w:after="0" w:afterAutospacing="0" w:line="360" w:lineRule="auto"/>
        <w:jc w:val="both"/>
        <w:rPr>
          <w:sz w:val="36"/>
          <w:szCs w:val="36"/>
        </w:rPr>
      </w:pPr>
      <w:r w:rsidRPr="00CD720D">
        <w:rPr>
          <w:sz w:val="36"/>
          <w:szCs w:val="36"/>
        </w:rPr>
        <w:lastRenderedPageBreak/>
        <w:t>Приложение</w:t>
      </w:r>
    </w:p>
    <w:p w14:paraId="3E517324" w14:textId="77777777" w:rsidR="00CD720D" w:rsidRDefault="00CD720D" w:rsidP="00CD720D">
      <w:pPr>
        <w:pStyle w:val="1"/>
        <w:spacing w:before="0" w:beforeAutospacing="0" w:after="0" w:afterAutospacing="0" w:line="360" w:lineRule="auto"/>
        <w:jc w:val="both"/>
        <w:rPr>
          <w:sz w:val="36"/>
          <w:szCs w:val="36"/>
        </w:rPr>
      </w:pPr>
    </w:p>
    <w:p w14:paraId="7DDE5755" w14:textId="3369DEA0" w:rsidR="00EE3BFD" w:rsidRPr="00CD720D" w:rsidRDefault="00CD720D" w:rsidP="00CD720D">
      <w:pPr>
        <w:pStyle w:val="1"/>
        <w:spacing w:before="0" w:beforeAutospacing="0" w:after="0" w:afterAutospacing="0" w:line="360" w:lineRule="auto"/>
        <w:jc w:val="both"/>
        <w:rPr>
          <w:sz w:val="36"/>
          <w:szCs w:val="36"/>
        </w:rPr>
      </w:pPr>
      <w:r>
        <w:rPr>
          <w:noProof/>
          <w:sz w:val="36"/>
          <w:szCs w:val="36"/>
        </w:rPr>
        <w:drawing>
          <wp:inline distT="0" distB="0" distL="0" distR="0" wp14:anchorId="3FF2226A" wp14:editId="1B2981FC">
            <wp:extent cx="5935980" cy="307086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070860"/>
                    </a:xfrm>
                    <a:prstGeom prst="rect">
                      <a:avLst/>
                    </a:prstGeom>
                    <a:noFill/>
                    <a:ln>
                      <a:noFill/>
                    </a:ln>
                  </pic:spPr>
                </pic:pic>
              </a:graphicData>
            </a:graphic>
          </wp:inline>
        </w:drawing>
      </w:r>
    </w:p>
    <w:sectPr w:rsidR="00EE3BFD" w:rsidRPr="00CD72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26E0D"/>
    <w:multiLevelType w:val="multilevel"/>
    <w:tmpl w:val="9602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69"/>
    <w:rsid w:val="00384350"/>
    <w:rsid w:val="006C3E86"/>
    <w:rsid w:val="00762069"/>
    <w:rsid w:val="00CD720D"/>
    <w:rsid w:val="00EE3B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D974"/>
  <w15:chartTrackingRefBased/>
  <w15:docId w15:val="{ADCCBDD6-E6BE-43B3-A35C-C95A6EF0E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E3B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E3BF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3BF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E3BFD"/>
    <w:rPr>
      <w:rFonts w:ascii="Times New Roman" w:eastAsia="Times New Roman" w:hAnsi="Times New Roman" w:cs="Times New Roman"/>
      <w:b/>
      <w:bCs/>
      <w:sz w:val="36"/>
      <w:szCs w:val="36"/>
      <w:lang w:eastAsia="ru-RU"/>
    </w:rPr>
  </w:style>
  <w:style w:type="paragraph" w:customStyle="1" w:styleId="isselectedend">
    <w:name w:val="isselectedend"/>
    <w:basedOn w:val="a"/>
    <w:rsid w:val="00EE3BF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EE3B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3BFD"/>
    <w:rPr>
      <w:b/>
      <w:bCs/>
    </w:rPr>
  </w:style>
  <w:style w:type="character" w:styleId="a5">
    <w:name w:val="Emphasis"/>
    <w:basedOn w:val="a0"/>
    <w:uiPriority w:val="20"/>
    <w:qFormat/>
    <w:rsid w:val="00EE3BFD"/>
    <w:rPr>
      <w:i/>
      <w:iCs/>
    </w:rPr>
  </w:style>
  <w:style w:type="table" w:styleId="a6">
    <w:name w:val="Grid Table Light"/>
    <w:basedOn w:val="a1"/>
    <w:uiPriority w:val="40"/>
    <w:rsid w:val="00EE3B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7">
    <w:name w:val="Table Grid"/>
    <w:basedOn w:val="a1"/>
    <w:uiPriority w:val="59"/>
    <w:rsid w:val="00EE3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semiHidden/>
    <w:unhideWhenUsed/>
    <w:rsid w:val="00EE3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1807">
      <w:bodyDiv w:val="1"/>
      <w:marLeft w:val="0"/>
      <w:marRight w:val="0"/>
      <w:marTop w:val="0"/>
      <w:marBottom w:val="0"/>
      <w:divBdr>
        <w:top w:val="none" w:sz="0" w:space="0" w:color="auto"/>
        <w:left w:val="none" w:sz="0" w:space="0" w:color="auto"/>
        <w:bottom w:val="none" w:sz="0" w:space="0" w:color="auto"/>
        <w:right w:val="none" w:sz="0" w:space="0" w:color="auto"/>
      </w:divBdr>
    </w:div>
    <w:div w:id="314377380">
      <w:bodyDiv w:val="1"/>
      <w:marLeft w:val="0"/>
      <w:marRight w:val="0"/>
      <w:marTop w:val="0"/>
      <w:marBottom w:val="0"/>
      <w:divBdr>
        <w:top w:val="none" w:sz="0" w:space="0" w:color="auto"/>
        <w:left w:val="none" w:sz="0" w:space="0" w:color="auto"/>
        <w:bottom w:val="none" w:sz="0" w:space="0" w:color="auto"/>
        <w:right w:val="none" w:sz="0" w:space="0" w:color="auto"/>
      </w:divBdr>
      <w:divsChild>
        <w:div w:id="1549802011">
          <w:marLeft w:val="0"/>
          <w:marRight w:val="0"/>
          <w:marTop w:val="0"/>
          <w:marBottom w:val="0"/>
          <w:divBdr>
            <w:top w:val="none" w:sz="0" w:space="0" w:color="auto"/>
            <w:left w:val="none" w:sz="0" w:space="0" w:color="auto"/>
            <w:bottom w:val="none" w:sz="0" w:space="0" w:color="auto"/>
            <w:right w:val="none" w:sz="0" w:space="0" w:color="auto"/>
          </w:divBdr>
        </w:div>
      </w:divsChild>
    </w:div>
    <w:div w:id="397870346">
      <w:bodyDiv w:val="1"/>
      <w:marLeft w:val="0"/>
      <w:marRight w:val="0"/>
      <w:marTop w:val="0"/>
      <w:marBottom w:val="0"/>
      <w:divBdr>
        <w:top w:val="none" w:sz="0" w:space="0" w:color="auto"/>
        <w:left w:val="none" w:sz="0" w:space="0" w:color="auto"/>
        <w:bottom w:val="none" w:sz="0" w:space="0" w:color="auto"/>
        <w:right w:val="none" w:sz="0" w:space="0" w:color="auto"/>
      </w:divBdr>
    </w:div>
    <w:div w:id="563376844">
      <w:bodyDiv w:val="1"/>
      <w:marLeft w:val="0"/>
      <w:marRight w:val="0"/>
      <w:marTop w:val="0"/>
      <w:marBottom w:val="0"/>
      <w:divBdr>
        <w:top w:val="none" w:sz="0" w:space="0" w:color="auto"/>
        <w:left w:val="none" w:sz="0" w:space="0" w:color="auto"/>
        <w:bottom w:val="none" w:sz="0" w:space="0" w:color="auto"/>
        <w:right w:val="none" w:sz="0" w:space="0" w:color="auto"/>
      </w:divBdr>
    </w:div>
    <w:div w:id="1214733422">
      <w:bodyDiv w:val="1"/>
      <w:marLeft w:val="0"/>
      <w:marRight w:val="0"/>
      <w:marTop w:val="0"/>
      <w:marBottom w:val="0"/>
      <w:divBdr>
        <w:top w:val="none" w:sz="0" w:space="0" w:color="auto"/>
        <w:left w:val="none" w:sz="0" w:space="0" w:color="auto"/>
        <w:bottom w:val="none" w:sz="0" w:space="0" w:color="auto"/>
        <w:right w:val="none" w:sz="0" w:space="0" w:color="auto"/>
      </w:divBdr>
    </w:div>
    <w:div w:id="1307513606">
      <w:bodyDiv w:val="1"/>
      <w:marLeft w:val="0"/>
      <w:marRight w:val="0"/>
      <w:marTop w:val="0"/>
      <w:marBottom w:val="0"/>
      <w:divBdr>
        <w:top w:val="none" w:sz="0" w:space="0" w:color="auto"/>
        <w:left w:val="none" w:sz="0" w:space="0" w:color="auto"/>
        <w:bottom w:val="none" w:sz="0" w:space="0" w:color="auto"/>
        <w:right w:val="none" w:sz="0" w:space="0" w:color="auto"/>
      </w:divBdr>
    </w:div>
    <w:div w:id="192506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mozg.ru/finan_demo/index.html?r=720089241" TargetMode="External"/><Relationship Id="rId3" Type="http://schemas.openxmlformats.org/officeDocument/2006/relationships/settings" Target="settings.xml"/><Relationship Id="rId7" Type="http://schemas.openxmlformats.org/officeDocument/2006/relationships/hyperlink" Target="https://bo.nalog.gov.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gni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ynapsene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1111</TotalTime>
  <Pages>17</Pages>
  <Words>3001</Words>
  <Characters>17107</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ириша</dc:creator>
  <cp:keywords/>
  <dc:description/>
  <cp:lastModifiedBy>ириша</cp:lastModifiedBy>
  <cp:revision>3</cp:revision>
  <dcterms:created xsi:type="dcterms:W3CDTF">2026-06-12T17:10:00Z</dcterms:created>
  <dcterms:modified xsi:type="dcterms:W3CDTF">2026-06-13T11:42:00Z</dcterms:modified>
</cp:coreProperties>
</file>