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proofErr w:type="spellStart"/>
      <w:r w:rsidRPr="00A415F6">
        <w:rPr>
          <w:color w:val="6A3E3E"/>
          <w:lang w:val="en-US"/>
        </w:rPr>
        <w:t>key</w:t>
      </w:r>
      <w:proofErr w:type="spellEnd"/>
      <w:r w:rsidRPr="00A415F6">
        <w:rPr>
          <w:lang w:val="en-US"/>
        </w:rPr>
        <w:t xml:space="preserve">, String </w:t>
      </w:r>
      <w:r w:rsidRPr="00A415F6">
        <w:rPr>
          <w:color w:val="6A3E3E"/>
          <w:lang w:val="en-US"/>
        </w:rPr>
        <w:t>keyType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 xml:space="preserve">Per il testing del KeyRing, sono state implementate </w:t>
      </w:r>
      <w:r w:rsidR="005E396E">
        <w:t>cinque</w:t>
      </w:r>
      <w:r>
        <w:t xml:space="preserve">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5E396E" w:rsidRDefault="005E396E" w:rsidP="005E396E">
      <w:pPr>
        <w:pStyle w:val="Paragrafoelenco"/>
      </w:pPr>
    </w:p>
    <w:p w:rsidR="005E396E" w:rsidRDefault="005E396E" w:rsidP="00391484">
      <w:pPr>
        <w:pStyle w:val="Paragrafoelenco"/>
        <w:numPr>
          <w:ilvl w:val="0"/>
          <w:numId w:val="11"/>
        </w:numPr>
      </w:pPr>
      <w:r w:rsidRPr="005E396E">
        <w:rPr>
          <w:b/>
        </w:rPr>
        <w:t>RunEncDec</w:t>
      </w:r>
      <w:r>
        <w:t xml:space="preserve">: classe il cui obiettivo è quello di cifrare e decifrare un file utilizzando la chiave AES a 128 bit o DESede a 168 bit memorizzata nel PrivateKeyRing. </w:t>
      </w:r>
      <w:r w:rsidR="008C018B">
        <w:t xml:space="preserve">Il file sul quale si </w:t>
      </w:r>
      <w:r w:rsidR="008C018B">
        <w:lastRenderedPageBreak/>
        <w:t>opera è gen</w:t>
      </w:r>
      <w:bookmarkStart w:id="0" w:name="_GoBack"/>
      <w:bookmarkEnd w:id="0"/>
      <w:r w:rsidR="008C018B">
        <w:t xml:space="preserve">erato </w:t>
      </w:r>
      <w:r w:rsidR="00356C48">
        <w:rPr>
          <w:i/>
        </w:rPr>
        <w:t>on-the-</w:t>
      </w:r>
      <w:r w:rsidR="00356C48" w:rsidRPr="00356C48">
        <w:rPr>
          <w:i/>
        </w:rPr>
        <w:t>fly</w:t>
      </w:r>
      <w:r w:rsidR="00356C48">
        <w:t xml:space="preserve"> </w:t>
      </w:r>
      <w:r w:rsidR="00356C48">
        <w:rPr>
          <w:i/>
        </w:rPr>
        <w:t xml:space="preserve"> </w:t>
      </w:r>
      <w:r w:rsidR="00356C48">
        <w:t>e contiene lo stesso messaggio fornito dalla traccia, in cui s</w:t>
      </w:r>
      <w:r w:rsidR="00584D6C">
        <w:t>ia il gruppo mittente che quello</w:t>
      </w:r>
      <w:r w:rsidR="00356C48">
        <w:t xml:space="preserve"> destinatario è il nostro. </w:t>
      </w:r>
    </w:p>
    <w:p w:rsidR="00391484" w:rsidRDefault="00391484" w:rsidP="00587846"/>
    <w:p w:rsidR="00B921EC" w:rsidRPr="00B921EC" w:rsidRDefault="00B921EC" w:rsidP="00587846">
      <w:r>
        <w:t xml:space="preserve">Il nome del </w:t>
      </w:r>
      <w:r w:rsidR="005E396E">
        <w:t xml:space="preserve">nostro </w:t>
      </w:r>
      <w:r>
        <w:t xml:space="preserve">gruppo è </w:t>
      </w:r>
      <w:r w:rsidRPr="00B921EC">
        <w:rPr>
          <w:b/>
          <w:i/>
        </w:rPr>
        <w:t>Foo</w:t>
      </w:r>
      <w:r w:rsidR="005E396E">
        <w:rPr>
          <w:b/>
          <w:i/>
        </w:rPr>
        <w:t>,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>,</w:t>
      </w:r>
      <w:r w:rsidR="00D04F8E">
        <w:t xml:space="preserve"> </w:t>
      </w:r>
      <w:r w:rsidR="00E7674C" w:rsidRPr="00E7674C">
        <w:rPr>
          <w:b/>
          <w:i/>
        </w:rPr>
        <w:t>FrankAbba</w:t>
      </w:r>
      <w:r w:rsidR="00E7674C">
        <w:t xml:space="preserve">, </w:t>
      </w:r>
      <w:r w:rsidR="00D04F8E" w:rsidRPr="003C74E4">
        <w:rPr>
          <w:b/>
          <w:i/>
        </w:rPr>
        <w:t>GalloSalvato</w:t>
      </w:r>
      <w:r w:rsidR="00D04F8E">
        <w:t>,</w:t>
      </w:r>
      <w:r w:rsidRPr="00B921EC">
        <w:t xml:space="preserve">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="004F1636" w:rsidRPr="004F1636">
        <w:t>,</w:t>
      </w:r>
      <w:r w:rsidR="004F1636">
        <w:rPr>
          <w:b/>
          <w:i/>
        </w:rPr>
        <w:t xml:space="preserve"> LupiLupi</w:t>
      </w:r>
      <w:r w:rsidR="004F1636">
        <w:t xml:space="preserve"> </w:t>
      </w:r>
      <w:r w:rsidRPr="00B921EC">
        <w:t xml:space="preserve">e </w:t>
      </w:r>
      <w:r w:rsidRPr="00B921EC">
        <w:rPr>
          <w:b/>
          <w:i/>
        </w:rPr>
        <w:t>MakeNao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7507B"/>
    <w:rsid w:val="001B1C7F"/>
    <w:rsid w:val="001C2A09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56C48"/>
    <w:rsid w:val="003771E5"/>
    <w:rsid w:val="00391484"/>
    <w:rsid w:val="003C74E4"/>
    <w:rsid w:val="003F1A17"/>
    <w:rsid w:val="004905DB"/>
    <w:rsid w:val="004A55EC"/>
    <w:rsid w:val="004B4114"/>
    <w:rsid w:val="004F1636"/>
    <w:rsid w:val="00584D6C"/>
    <w:rsid w:val="00587846"/>
    <w:rsid w:val="005C0B34"/>
    <w:rsid w:val="005D1C1A"/>
    <w:rsid w:val="005D729E"/>
    <w:rsid w:val="005D7399"/>
    <w:rsid w:val="005E396E"/>
    <w:rsid w:val="00664CF4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C018B"/>
    <w:rsid w:val="008F3176"/>
    <w:rsid w:val="00A04A64"/>
    <w:rsid w:val="00A1676E"/>
    <w:rsid w:val="00A415F6"/>
    <w:rsid w:val="00A67848"/>
    <w:rsid w:val="00A70F74"/>
    <w:rsid w:val="00A97749"/>
    <w:rsid w:val="00AE12B4"/>
    <w:rsid w:val="00AE2AEB"/>
    <w:rsid w:val="00B014B2"/>
    <w:rsid w:val="00B3565D"/>
    <w:rsid w:val="00B921EC"/>
    <w:rsid w:val="00BB0DD6"/>
    <w:rsid w:val="00BB56BF"/>
    <w:rsid w:val="00BD72EC"/>
    <w:rsid w:val="00C85DB4"/>
    <w:rsid w:val="00CD1A96"/>
    <w:rsid w:val="00D04F8E"/>
    <w:rsid w:val="00D267CB"/>
    <w:rsid w:val="00D33093"/>
    <w:rsid w:val="00DC3413"/>
    <w:rsid w:val="00DD0B1C"/>
    <w:rsid w:val="00E24BD4"/>
    <w:rsid w:val="00E74A2C"/>
    <w:rsid w:val="00E74C6A"/>
    <w:rsid w:val="00E7674C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0675F-70E0-4BC7-923F-2610CB09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72</cp:revision>
  <dcterms:created xsi:type="dcterms:W3CDTF">2016-12-17T17:35:00Z</dcterms:created>
  <dcterms:modified xsi:type="dcterms:W3CDTF">2016-12-20T20:41:00Z</dcterms:modified>
</cp:coreProperties>
</file>