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E3A5F"/>
          <w:sz w:val="44"/>
          <w:szCs w:val="44"/>
        </w:rPr>
        <w:t xml:space="preserve">LegalPlus.com</w:t>
      </w:r>
    </w:p>
    <w:p>
      <w:pPr>
        <w:spacing w:after="60"/>
      </w:pPr>
      <w:r>
        <w:rPr>
          <w:color w:val="1E3A5F"/>
          <w:sz w:val="32"/>
          <w:szCs w:val="32"/>
        </w:rPr>
        <w:t xml:space="preserve">Competitive Analysis &amp; Website Differentiation Strategy</w:t>
      </w:r>
    </w:p>
    <w:p>
      <w:pPr>
        <w:spacing w:after="480"/>
      </w:pPr>
      <w:r>
        <w:rPr>
          <w:i/>
          <w:iCs/>
          <w:color w:val="475569"/>
          <w:sz w:val="20"/>
          <w:szCs w:val="20"/>
        </w:rPr>
        <w:t xml:space="preserve">LegalPlus vs. MyPleadings  |  Family Law Software Market  |  April 2026</w:t>
      </w:r>
    </w:p>
    <w:p>
      <w:pPr>
        <w:pStyle w:val="Heading1"/>
        <w:spacing w:after="200" w:before="360"/>
      </w:pPr>
      <w:r>
        <w:t xml:space="preserve">Executive Summary</w:t>
      </w:r>
    </w:p>
    <w:p>
      <w:pPr>
        <w:spacing w:after="120"/>
      </w:pPr>
      <w:r>
        <w:t xml:space="preserve">MyPleadings (mypleadings.com) is the most direct competitor LegalPlus faces in the Washington family law software market. They are well-funded enough to maintain a modern, mobile-ready website, offer a free trial with online signup, and they have established named testimonials — some of which compare them favorably to “other programs” that may well be LegalPlus.</w:t>
      </w:r>
    </w:p>
    <w:p>
      <w:pPr>
        <w:spacing w:after="120"/>
      </w:pPr>
      <w:r>
        <w:t xml:space="preserve">This is not a product problem. It is a presentation and access problem.</w:t>
      </w:r>
    </w:p>
    <w:p>
      <w:pPr>
        <w:spacing w:after="120"/>
      </w:pPr>
      <w:r>
        <w:t xml:space="preserve">On every dimension that matters — court endorsement, calculation accuracy, state coverage, platform flexibility, package value — LegalPlus already wins. But none of those advantages are visible on the current legalplus.com. This document captures the head-to-head reality, defines the five differentiators that should drive the rebuilt website, and lists the exact features and copy patterns that must appear on the new homepage to convert attorneys who are comparison-shopping the two products.</w:t>
      </w:r>
    </w:p>
    <w:p>
      <w:pPr>
        <w:pStyle w:val="Heading1"/>
        <w:spacing w:after="200" w:before="360"/>
      </w:pPr>
      <w:r>
        <w:t xml:space="preserve">Side-by-Side Comparison</w:t>
      </w:r>
    </w:p>
    <w:p>
      <w:pPr>
        <w:spacing w:after="120"/>
      </w:pPr>
      <w:r>
        <w:rPr>
          <w:i/>
          <w:iCs/>
          <w:color w:val="475569"/>
        </w:rPr>
        <w:t xml:space="preserve">Based on a fresh review of mypleadings.com (Washington page and pricing page) as of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tcPr>
          <w:p>
            <w:pPr>
              <w:spacing w:after="0"/>
            </w:pPr>
            <w:r>
              <w:rPr>
                <w:b/>
                <w:bCs/>
                <w:color w:val="FFFFFF"/>
                <w:sz w:val="20"/>
                <w:szCs w:val="20"/>
              </w:rPr>
              <w:t xml:space="preserve">Dimension</w:t>
            </w:r>
          </w:p>
        </w:tc>
        <w:tc>
          <w:tcPr>
            <w:tcW w:type="dxa" w:w="348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tcPr>
          <w:p>
            <w:pPr>
              <w:spacing w:after="0"/>
            </w:pPr>
            <w:r>
              <w:rPr>
                <w:b/>
                <w:bCs/>
                <w:color w:val="FFFFFF"/>
                <w:sz w:val="20"/>
                <w:szCs w:val="20"/>
              </w:rPr>
              <w:t xml:space="preserve">LegalPlus / FamilySoft</w:t>
            </w:r>
          </w:p>
        </w:tc>
        <w:tc>
          <w:tcPr>
            <w:tcW w:type="dxa" w:w="348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tcPr>
          <w:p>
            <w:pPr>
              <w:spacing w:after="0"/>
            </w:pPr>
            <w:r>
              <w:rPr>
                <w:b/>
                <w:bCs/>
                <w:color w:val="FFFFFF"/>
                <w:sz w:val="20"/>
                <w:szCs w:val="20"/>
              </w:rPr>
              <w:t xml:space="preserve">MyPleadings</w:t>
            </w:r>
          </w:p>
        </w:tc>
      </w:tr>
      <w:tr>
        <w:trPr>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color w:val="1E293B"/>
                <w:sz w:val="19"/>
                <w:szCs w:val="19"/>
              </w:rPr>
              <w:t xml:space="preserve">States covered</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color w:val="1E293B"/>
                <w:sz w:val="19"/>
                <w:szCs w:val="19"/>
              </w:rPr>
              <w:t xml:space="preserve">5 — CA, WA, PA, WV, NY</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color w:val="1E293B"/>
                <w:sz w:val="19"/>
                <w:szCs w:val="19"/>
              </w:rPr>
              <w:t xml:space="preserve">2 — WA, OR</w:t>
            </w:r>
          </w:p>
        </w:tc>
      </w:tr>
      <w:tr>
        <w:trPr>
          <w:tblHeader w:val="false"/>
        </w:trPr>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b/>
                <w:bCs/>
                <w:color w:val="1E293B"/>
                <w:sz w:val="19"/>
                <w:szCs w:val="19"/>
              </w:rPr>
              <w:t xml:space="preserve">Years in market</w:t>
            </w:r>
          </w:p>
        </w:tc>
        <w:tc>
          <w:tcPr>
            <w:tcW w:type="dxa" w:w="34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b w:val="false"/>
                <w:bCs w:val="false"/>
                <w:color w:val="1E293B"/>
                <w:sz w:val="19"/>
                <w:szCs w:val="19"/>
              </w:rPr>
              <w:t xml:space="preserve">36+ years</w:t>
            </w:r>
          </w:p>
        </w:tc>
        <w:tc>
          <w:tcPr>
            <w:tcW w:type="dxa" w:w="34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b w:val="false"/>
                <w:bCs w:val="false"/>
                <w:color w:val="1E293B"/>
                <w:sz w:val="19"/>
                <w:szCs w:val="19"/>
              </w:rPr>
              <w:t xml:space="preserve">~10 years</w:t>
            </w:r>
          </w:p>
        </w:tc>
      </w:tr>
      <w:tr>
        <w:trPr>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color w:val="1E293B"/>
                <w:sz w:val="19"/>
                <w:szCs w:val="19"/>
              </w:rPr>
              <w:t xml:space="preserve">Court endorsement</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color w:val="1E293B"/>
                <w:sz w:val="19"/>
                <w:szCs w:val="19"/>
              </w:rPr>
              <w:t xml:space="preserve">Yes — courts in WA, PA, WV use SupportCalc</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color w:val="1E293B"/>
                <w:sz w:val="19"/>
                <w:szCs w:val="19"/>
              </w:rPr>
              <w:t xml:space="preserve">None — testimonials only</w:t>
            </w:r>
          </w:p>
        </w:tc>
      </w:tr>
      <w:tr>
        <w:trPr>
          <w:tblHeader w:val="false"/>
        </w:trPr>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b/>
                <w:bCs/>
                <w:color w:val="1E293B"/>
                <w:sz w:val="19"/>
                <w:szCs w:val="19"/>
              </w:rPr>
              <w:t xml:space="preserve">Child support engine</w:t>
            </w:r>
          </w:p>
        </w:tc>
        <w:tc>
          <w:tcPr>
            <w:tcW w:type="dxa" w:w="34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b w:val="false"/>
                <w:bCs w:val="false"/>
                <w:color w:val="1E293B"/>
                <w:sz w:val="19"/>
                <w:szCs w:val="19"/>
              </w:rPr>
              <w:t xml:space="preserve">Native, built and refined for 36 years</w:t>
            </w:r>
          </w:p>
        </w:tc>
        <w:tc>
          <w:tcPr>
            <w:tcW w:type="dxa" w:w="34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b w:val="false"/>
                <w:bCs w:val="false"/>
                <w:color w:val="1E293B"/>
                <w:sz w:val="19"/>
                <w:szCs w:val="19"/>
              </w:rPr>
              <w:t xml:space="preserve">Third-party (CS Suite partnership)</w:t>
            </w:r>
          </w:p>
        </w:tc>
      </w:tr>
      <w:tr>
        <w:trPr>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color w:val="1E293B"/>
                <w:sz w:val="19"/>
                <w:szCs w:val="19"/>
              </w:rPr>
              <w:t xml:space="preserve">Property division tool</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color w:val="1E293B"/>
                <w:sz w:val="19"/>
                <w:szCs w:val="19"/>
              </w:rPr>
              <w:t xml:space="preserve">PropertyCalc — dedicated tool</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color w:val="1E293B"/>
                <w:sz w:val="19"/>
                <w:szCs w:val="19"/>
              </w:rPr>
              <w:t xml:space="preserve">Asset/Debt spreadsheet only</w:t>
            </w:r>
          </w:p>
        </w:tc>
      </w:tr>
      <w:tr>
        <w:trPr>
          <w:tblHeader w:val="false"/>
        </w:trPr>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b/>
                <w:bCs/>
                <w:color w:val="1E293B"/>
                <w:sz w:val="19"/>
                <w:szCs w:val="19"/>
              </w:rPr>
              <w:t xml:space="preserve">Pricing — Private Practice</w:t>
            </w:r>
          </w:p>
        </w:tc>
        <w:tc>
          <w:tcPr>
            <w:tcW w:type="dxa" w:w="34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b w:val="false"/>
                <w:bCs w:val="false"/>
                <w:color w:val="1E293B"/>
                <w:sz w:val="19"/>
                <w:szCs w:val="19"/>
              </w:rPr>
              <w:t xml:space="preserve">$45/mo (SupportCalc) or $69.95/mo (Combination)</w:t>
            </w:r>
          </w:p>
        </w:tc>
        <w:tc>
          <w:tcPr>
            <w:tcW w:type="dxa" w:w="34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b w:val="false"/>
                <w:bCs w:val="false"/>
                <w:color w:val="1E293B"/>
                <w:sz w:val="19"/>
                <w:szCs w:val="19"/>
              </w:rPr>
              <w:t xml:space="preserve">$50/mo per user</w:t>
            </w:r>
          </w:p>
        </w:tc>
      </w:tr>
      <w:tr>
        <w:trPr>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color w:val="1E293B"/>
                <w:sz w:val="19"/>
                <w:szCs w:val="19"/>
              </w:rPr>
              <w:t xml:space="preserve">Court / Non-profit tier</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color w:val="1E293B"/>
                <w:sz w:val="19"/>
                <w:szCs w:val="19"/>
              </w:rPr>
              <w:t xml:space="preserve">Not currently offered</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color w:val="1E293B"/>
                <w:sz w:val="19"/>
                <w:szCs w:val="19"/>
              </w:rPr>
              <w:t xml:space="preserve">$25/mo per user</w:t>
            </w:r>
          </w:p>
        </w:tc>
      </w:tr>
      <w:tr>
        <w:trPr>
          <w:tblHeader w:val="false"/>
        </w:trPr>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b/>
                <w:bCs/>
                <w:color w:val="1E293B"/>
                <w:sz w:val="19"/>
                <w:szCs w:val="19"/>
              </w:rPr>
              <w:t xml:space="preserve">Free trial</w:t>
            </w:r>
          </w:p>
        </w:tc>
        <w:tc>
          <w:tcPr>
            <w:tcW w:type="dxa" w:w="34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b w:val="false"/>
                <w:bCs w:val="false"/>
                <w:color w:val="1E293B"/>
                <w:sz w:val="19"/>
                <w:szCs w:val="19"/>
              </w:rPr>
              <w:t xml:space="preserve">30-day money-back guarantee</w:t>
            </w:r>
          </w:p>
        </w:tc>
        <w:tc>
          <w:tcPr>
            <w:tcW w:type="dxa" w:w="34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b w:val="false"/>
                <w:bCs w:val="false"/>
                <w:color w:val="1E293B"/>
                <w:sz w:val="19"/>
                <w:szCs w:val="19"/>
              </w:rPr>
              <w:t xml:space="preserve">Free trial (length not disclosed)</w:t>
            </w:r>
          </w:p>
        </w:tc>
      </w:tr>
      <w:tr>
        <w:trPr>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color w:val="1E293B"/>
                <w:sz w:val="19"/>
                <w:szCs w:val="19"/>
              </w:rPr>
              <w:t xml:space="preserve">Online sign-up</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color w:val="1E293B"/>
                <w:sz w:val="19"/>
                <w:szCs w:val="19"/>
              </w:rPr>
              <w:t xml:space="preserve">Phone / email only</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color w:val="1E293B"/>
                <w:sz w:val="19"/>
                <w:szCs w:val="19"/>
              </w:rPr>
              <w:t xml:space="preserve">Self-serve at /user/register</w:t>
            </w:r>
          </w:p>
        </w:tc>
      </w:tr>
      <w:tr>
        <w:trPr>
          <w:tblHeader w:val="false"/>
        </w:trPr>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b/>
                <w:bCs/>
                <w:color w:val="1E293B"/>
                <w:sz w:val="19"/>
                <w:szCs w:val="19"/>
              </w:rPr>
              <w:t xml:space="preserve">Platform</w:t>
            </w:r>
          </w:p>
        </w:tc>
        <w:tc>
          <w:tcPr>
            <w:tcW w:type="dxa" w:w="34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b w:val="false"/>
                <w:bCs w:val="false"/>
                <w:color w:val="1E293B"/>
                <w:sz w:val="19"/>
                <w:szCs w:val="19"/>
              </w:rPr>
              <w:t xml:space="preserve">Cloud + Desktop (PC &amp; Mac)</w:t>
            </w:r>
          </w:p>
        </w:tc>
        <w:tc>
          <w:tcPr>
            <w:tcW w:type="dxa" w:w="34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b w:val="false"/>
                <w:bCs w:val="false"/>
                <w:color w:val="1E293B"/>
                <w:sz w:val="19"/>
                <w:szCs w:val="19"/>
              </w:rPr>
              <w:t xml:space="preserve">Cloud / browser only</w:t>
            </w:r>
          </w:p>
        </w:tc>
      </w:tr>
      <w:tr>
        <w:trPr>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color w:val="1E293B"/>
                <w:sz w:val="19"/>
                <w:szCs w:val="19"/>
              </w:rPr>
              <w:t xml:space="preserve">Setup fees / contracts</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color w:val="1E293B"/>
                <w:sz w:val="19"/>
                <w:szCs w:val="19"/>
              </w:rPr>
              <w:t xml:space="preserve">None</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color w:val="1E293B"/>
                <w:sz w:val="19"/>
                <w:szCs w:val="19"/>
              </w:rPr>
              <w:t xml:space="preserve">None</w:t>
            </w:r>
          </w:p>
        </w:tc>
      </w:tr>
      <w:tr>
        <w:trPr>
          <w:tblHeader w:val="false"/>
        </w:trPr>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b/>
                <w:bCs/>
                <w:color w:val="1E293B"/>
                <w:sz w:val="19"/>
                <w:szCs w:val="19"/>
              </w:rPr>
              <w:t xml:space="preserve">Form-update mechanism</w:t>
            </w:r>
          </w:p>
        </w:tc>
        <w:tc>
          <w:tcPr>
            <w:tcW w:type="dxa" w:w="34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b w:val="false"/>
                <w:bCs w:val="false"/>
                <w:color w:val="1E293B"/>
                <w:sz w:val="19"/>
                <w:szCs w:val="19"/>
              </w:rPr>
              <w:t xml:space="preserve">Sourced via court partnerships</w:t>
            </w:r>
          </w:p>
        </w:tc>
        <w:tc>
          <w:tcPr>
            <w:tcW w:type="dxa" w:w="34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b w:val="false"/>
                <w:bCs w:val="false"/>
                <w:color w:val="1E293B"/>
                <w:sz w:val="19"/>
                <w:szCs w:val="19"/>
              </w:rPr>
              <w:t xml:space="preserve">"We monitor updates" to mandatory forms</w:t>
            </w:r>
          </w:p>
        </w:tc>
      </w:tr>
      <w:tr>
        <w:trPr>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color w:val="1E293B"/>
                <w:sz w:val="19"/>
                <w:szCs w:val="19"/>
              </w:rPr>
              <w:t xml:space="preserve">Forms available (WA family law)</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color w:val="1E293B"/>
                <w:sz w:val="19"/>
                <w:szCs w:val="19"/>
              </w:rPr>
              <w:t xml:space="preserve">183+ forms in Combination plan</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color w:val="1E293B"/>
                <w:sz w:val="19"/>
                <w:szCs w:val="19"/>
              </w:rPr>
              <w:t xml:space="preserve">12 form categories listed</w:t>
            </w:r>
          </w:p>
        </w:tc>
      </w:tr>
      <w:tr>
        <w:trPr>
          <w:tblHeader w:val="false"/>
        </w:trPr>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b/>
                <w:bCs/>
                <w:color w:val="1E293B"/>
                <w:sz w:val="19"/>
                <w:szCs w:val="19"/>
              </w:rPr>
              <w:t xml:space="preserve">Public testimonials on site</w:t>
            </w:r>
          </w:p>
        </w:tc>
        <w:tc>
          <w:tcPr>
            <w:tcW w:type="dxa" w:w="34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b w:val="false"/>
                <w:bCs w:val="false"/>
                <w:color w:val="1E293B"/>
                <w:sz w:val="19"/>
                <w:szCs w:val="19"/>
              </w:rPr>
              <w:t xml:space="preserve">Zero today (Phase 2 priority)</w:t>
            </w:r>
          </w:p>
        </w:tc>
        <w:tc>
          <w:tcPr>
            <w:tcW w:type="dxa" w:w="34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b w:val="false"/>
                <w:bCs w:val="false"/>
                <w:color w:val="1E293B"/>
                <w:sz w:val="19"/>
                <w:szCs w:val="19"/>
              </w:rPr>
              <w:t xml:space="preserve">Named testimonials displayed</w:t>
            </w:r>
          </w:p>
        </w:tc>
      </w:tr>
    </w:tbl>
    <w:p>
      <w:r>
        <w:br w:type="page"/>
      </w:r>
    </w:p>
    <w:p>
      <w:pPr>
        <w:pStyle w:val="Heading1"/>
        <w:spacing w:after="200" w:before="360"/>
      </w:pPr>
      <w:r>
        <w:t xml:space="preserve">The 5 Key Differentiators</w:t>
      </w:r>
    </w:p>
    <w:p>
      <w:pPr>
        <w:spacing w:after="120"/>
      </w:pPr>
      <w:r>
        <w:t xml:space="preserve">These are the differentiators that hold up under scrutiny — concrete, defensible, and ones MyPleadings cannot match without years of work. Every one of them must be visible on the rebuilt LegalPlus homepage.</w:t>
      </w:r>
    </w:p>
    <w:p>
      <w:pPr>
        <w:spacing w:after="80" w:before="240"/>
      </w:pPr>
      <w:r>
        <w:rPr>
          <w:b/>
          <w:bCs/>
          <w:color w:val="C8973E"/>
          <w:sz w:val="26"/>
          <w:szCs w:val="26"/>
        </w:rPr>
        <w:t xml:space="preserve">1. </w:t>
      </w:r>
      <w:r>
        <w:rPr>
          <w:b/>
          <w:bCs/>
          <w:color w:val="1E3A5F"/>
          <w:sz w:val="26"/>
          <w:szCs w:val="26"/>
        </w:rPr>
        <w:t xml:space="preserve">Court-endorsed, not just court-aware.</w:t>
      </w:r>
    </w:p>
    <w:p>
      <w:pPr>
        <w:spacing w:after="160"/>
      </w:pPr>
      <w:r>
        <w:rPr>
          <w:sz w:val="22"/>
          <w:szCs w:val="22"/>
        </w:rPr>
        <w:t xml:space="preserve">MyPleadings says they “monitor updates” to forms. LegalPlus is the software the courts themselves use in WA, PA, and WV. When the judge runs your child support numbers, they're running them on the same engine. That is not a marketing claim MyPleadings can make.</w:t>
      </w:r>
    </w:p>
    <w:p>
      <w:pPr>
        <w:spacing w:after="80" w:before="240"/>
      </w:pPr>
      <w:r>
        <w:rPr>
          <w:b/>
          <w:bCs/>
          <w:color w:val="C8973E"/>
          <w:sz w:val="26"/>
          <w:szCs w:val="26"/>
        </w:rPr>
        <w:t xml:space="preserve">2. </w:t>
      </w:r>
      <w:r>
        <w:rPr>
          <w:b/>
          <w:bCs/>
          <w:color w:val="1E3A5F"/>
          <w:sz w:val="26"/>
          <w:szCs w:val="26"/>
        </w:rPr>
        <w:t xml:space="preserve">Native calculation engine vs. third-party plumbing.</w:t>
      </w:r>
    </w:p>
    <w:p>
      <w:pPr>
        <w:spacing w:after="160"/>
      </w:pPr>
      <w:r>
        <w:rPr>
          <w:sz w:val="22"/>
          <w:szCs w:val="22"/>
        </w:rPr>
        <w:t xml:space="preserve">MyPleadings outsources Washington child support calculation to a third-party tool called CS Suite. LegalPlus owns the math. 36 years of refinement. If a guideline changes mid-year, LegalPlus controls the patch — MyPleadings waits on a vendor.</w:t>
      </w:r>
    </w:p>
    <w:p>
      <w:pPr>
        <w:spacing w:after="80" w:before="240"/>
      </w:pPr>
      <w:r>
        <w:rPr>
          <w:b/>
          <w:bCs/>
          <w:color w:val="C8973E"/>
          <w:sz w:val="26"/>
          <w:szCs w:val="26"/>
        </w:rPr>
        <w:t xml:space="preserve">3. </w:t>
      </w:r>
      <w:r>
        <w:rPr>
          <w:b/>
          <w:bCs/>
          <w:color w:val="1E3A5F"/>
          <w:sz w:val="26"/>
          <w:szCs w:val="26"/>
        </w:rPr>
        <w:t xml:space="preserve">5 states vs. 2.</w:t>
      </w:r>
    </w:p>
    <w:p>
      <w:pPr>
        <w:spacing w:after="160"/>
      </w:pPr>
      <w:r>
        <w:rPr>
          <w:sz w:val="22"/>
          <w:szCs w:val="22"/>
        </w:rPr>
        <w:t xml:space="preserve">A Washington-only attorney won't care today. But a multi-state firm, a paralegal who moves states, or a client with cross-jurisdictional matters cannot use MyPleadings outside WA/OR. LegalPlus scales with the practice. As LegalPlus expands into Texas, Florida, and Illinois (Phase 3 of the roadmap), this gap widens further.</w:t>
      </w:r>
    </w:p>
    <w:p>
      <w:pPr>
        <w:spacing w:after="80" w:before="240"/>
      </w:pPr>
      <w:r>
        <w:rPr>
          <w:b/>
          <w:bCs/>
          <w:color w:val="C8973E"/>
          <w:sz w:val="26"/>
          <w:szCs w:val="26"/>
        </w:rPr>
        <w:t xml:space="preserve">4. </w:t>
      </w:r>
      <w:r>
        <w:rPr>
          <w:b/>
          <w:bCs/>
          <w:color w:val="1E3A5F"/>
          <w:sz w:val="26"/>
          <w:szCs w:val="26"/>
        </w:rPr>
        <w:t xml:space="preserve">Cloud OR Desktop — your choice.</w:t>
      </w:r>
    </w:p>
    <w:p>
      <w:pPr>
        <w:spacing w:after="160"/>
      </w:pPr>
      <w:r>
        <w:rPr>
          <w:sz w:val="22"/>
          <w:szCs w:val="22"/>
        </w:rPr>
        <w:t xml:space="preserve">MyPleadings is browser-only. LegalPlus runs in the cloud and as a desktop app on PC and Mac. That matters in three real scenarios: (a) courthouse Wi-Fi is unreliable, (b) firm IT policy blocks cloud SaaS for client files, (c) attorneys who prefer working offline on flights or trains. This is a feature MyPleadings architecturally cannot match without a complete platform rewrite.</w:t>
      </w:r>
    </w:p>
    <w:p>
      <w:pPr>
        <w:spacing w:after="80" w:before="240"/>
      </w:pPr>
      <w:r>
        <w:rPr>
          <w:b/>
          <w:bCs/>
          <w:color w:val="C8973E"/>
          <w:sz w:val="26"/>
          <w:szCs w:val="26"/>
        </w:rPr>
        <w:t xml:space="preserve">5. </w:t>
      </w:r>
      <w:r>
        <w:rPr>
          <w:b/>
          <w:bCs/>
          <w:color w:val="1E3A5F"/>
          <w:sz w:val="26"/>
          <w:szCs w:val="26"/>
        </w:rPr>
        <w:t xml:space="preserve">Better value at the package level.</w:t>
      </w:r>
    </w:p>
    <w:p>
      <w:pPr>
        <w:spacing w:after="160"/>
      </w:pPr>
      <w:r>
        <w:rPr>
          <w:sz w:val="22"/>
          <w:szCs w:val="22"/>
        </w:rPr>
        <w:t xml:space="preserve">$69.95/mo gets you SupportCalc + 183 forms + PropertyCalc + SWIFT + Law Online — a complete suite. MyPleadings at $50/mo gets pleadings automation only, with calculation provided by a third party. Per-feature, LegalPlus is cheaper. The SupportCalc-only plan at $45/mo is also less expensive than MyPleadings for attorneys who primarily need calculation support.</w:t>
      </w:r>
    </w:p>
    <w:p>
      <w:r>
        <w:br w:type="page"/>
      </w:r>
    </w:p>
    <w:p>
      <w:pPr>
        <w:pStyle w:val="Heading1"/>
        <w:spacing w:after="200" w:before="360"/>
      </w:pPr>
      <w:r>
        <w:t xml:space="preserve">Where MyPleadings Has the Edge</w:t>
      </w:r>
    </w:p>
    <w:p>
      <w:pPr>
        <w:spacing w:after="120"/>
      </w:pPr>
      <w:r>
        <w:t xml:space="preserve">These are real gaps — but they are presentation gaps, not product gaps. Every one is fixable inside the modernization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rPr>
          <w:tblHeader/>
        </w:trPr>
        <w:tc>
          <w:tcPr>
            <w:tcW w:type="dxa" w:w="396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tcPr>
          <w:p>
            <w:pPr>
              <w:spacing w:after="0"/>
            </w:pPr>
            <w:r>
              <w:rPr>
                <w:b/>
                <w:bCs/>
                <w:color w:val="FFFFFF"/>
                <w:sz w:val="20"/>
                <w:szCs w:val="20"/>
              </w:rPr>
              <w:t xml:space="preserve">MyPleadings advantage</w:t>
            </w:r>
          </w:p>
        </w:tc>
        <w:tc>
          <w:tcPr>
            <w:tcW w:type="dxa" w:w="54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tcPr>
          <w:p>
            <w:pPr>
              <w:spacing w:after="0"/>
            </w:pPr>
            <w:r>
              <w:rPr>
                <w:b/>
                <w:bCs/>
                <w:color w:val="FFFFFF"/>
                <w:sz w:val="20"/>
                <w:szCs w:val="20"/>
              </w:rPr>
              <w:t xml:space="preserve">How LegalPlus closes the gap</w:t>
            </w:r>
          </w:p>
        </w:tc>
      </w:tr>
      <w:tr>
        <w:trPr>
          <w:tblHeader w:val="false"/>
        </w:trPr>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color w:val="1E293B"/>
                <w:sz w:val="19"/>
                <w:szCs w:val="19"/>
              </w:rPr>
              <w:t xml:space="preserve">Free trial CTA on every page</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color w:val="1E293B"/>
                <w:sz w:val="19"/>
                <w:szCs w:val="19"/>
              </w:rPr>
              <w:t xml:space="preserve">Phase 1: 30-day money-back guarantee badge in hero. Phase 3: Add real free trial.</w:t>
            </w:r>
          </w:p>
        </w:tc>
      </w:tr>
      <w:tr>
        <w:trPr>
          <w:tblHeader w:val="false"/>
        </w:trPr>
        <w:tc>
          <w:tcPr>
            <w:tcW w:type="dxa" w:w="39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b w:val="false"/>
                <w:bCs w:val="false"/>
                <w:color w:val="1E293B"/>
                <w:sz w:val="19"/>
                <w:szCs w:val="19"/>
              </w:rPr>
              <w:t xml:space="preserve">Self-serve online signup</w:t>
            </w:r>
          </w:p>
        </w:tc>
        <w:tc>
          <w:tcPr>
            <w:tcW w:type="dxa" w:w="5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b w:val="false"/>
                <w:bCs w:val="false"/>
                <w:color w:val="1E293B"/>
                <w:sz w:val="19"/>
                <w:szCs w:val="19"/>
              </w:rPr>
              <w:t xml:space="preserve">Phase 1 deliverable — Stripe checkout + email-based account provisioning.</w:t>
            </w:r>
          </w:p>
        </w:tc>
      </w:tr>
      <w:tr>
        <w:trPr>
          <w:tblHeader w:val="false"/>
        </w:trPr>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color w:val="1E293B"/>
                <w:sz w:val="19"/>
                <w:szCs w:val="19"/>
              </w:rPr>
              <w:t xml:space="preserve">Named testimonials (some compare favorably to "other programs")</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color w:val="1E293B"/>
                <w:sz w:val="19"/>
                <w:szCs w:val="19"/>
              </w:rPr>
              <w:t xml:space="preserve">Phase 2: Outreach to 8–10 attorneys across CA/WA/PA/WV/NY for testimonials.</w:t>
            </w:r>
          </w:p>
        </w:tc>
      </w:tr>
      <w:tr>
        <w:trPr>
          <w:tblHeader w:val="false"/>
        </w:trPr>
        <w:tc>
          <w:tcPr>
            <w:tcW w:type="dxa" w:w="39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b w:val="false"/>
                <w:bCs w:val="false"/>
                <w:color w:val="1E293B"/>
                <w:sz w:val="19"/>
                <w:szCs w:val="19"/>
              </w:rPr>
              <w:t xml:space="preserve">Modern, mobile-ready website</w:t>
            </w:r>
          </w:p>
        </w:tc>
        <w:tc>
          <w:tcPr>
            <w:tcW w:type="dxa" w:w="5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b w:val="false"/>
                <w:bCs w:val="false"/>
                <w:color w:val="1E293B"/>
                <w:sz w:val="19"/>
                <w:szCs w:val="19"/>
              </w:rPr>
              <w:t xml:space="preserve">Phase 1: The current rebuild solves this entirely.</w:t>
            </w:r>
          </w:p>
        </w:tc>
      </w:tr>
      <w:tr>
        <w:trPr>
          <w:tblHeader w:val="false"/>
        </w:trPr>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color w:val="1E293B"/>
                <w:sz w:val="19"/>
                <w:szCs w:val="19"/>
              </w:rPr>
              <w:t xml:space="preserve">Court / non-profit pricing tier ($25/mo)</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color w:val="1E293B"/>
                <w:sz w:val="19"/>
                <w:szCs w:val="19"/>
              </w:rPr>
              <w:t xml:space="preserve">Add discounted tier — blocks MyPleadings' wedge into court systems.</w:t>
            </w:r>
          </w:p>
        </w:tc>
      </w:tr>
    </w:tbl>
    <w:p>
      <w:pPr>
        <w:pStyle w:val="Heading1"/>
        <w:spacing w:after="200" w:before="360"/>
      </w:pPr>
      <w:r>
        <w:t xml:space="preserve">Positioning Statement</w:t>
      </w:r>
    </w:p>
    <w:p>
      <w:pPr>
        <w:spacing w:after="120"/>
      </w:pPr>
      <w:r>
        <w:t xml:space="preserve">Every differentiator above should be expressed in the same voice. This is the one-paragraph elevator pitch that should anchor every page of the rebuilt site, every sales conversation, and every direct-mail piece.</w:t>
      </w:r>
    </w:p>
    <w:p>
      <w:pPr>
        <w:pBdr>
          <w:left w:val="single" w:color="C8973E" w:sz="24" w:space="12"/>
        </w:pBdr>
        <w:spacing w:after="200" w:before="200"/>
        <w:jc w:val="left"/>
      </w:pPr>
      <w:r>
        <w:rPr>
          <w:i/>
          <w:iCs/>
          <w:color w:val="1E3A5F"/>
          <w:sz w:val="24"/>
          <w:szCs w:val="24"/>
        </w:rPr>
        <w:t xml:space="preserve">MyPleadings is a forms tool with calculation bolted on. LegalPlus is the calculation engine the courts themselves trust, with forms, property division, and statutes built around it. For 36 years, when a Washington judge runs a child support worksheet, they're running it on SupportCalc — and now it's available cloud or desktop, in 5 states, for less than what MyPleadings charges for a third-party calculator.</w:t>
      </w:r>
    </w:p>
    <w:p>
      <w:r>
        <w:br w:type="page"/>
      </w:r>
    </w:p>
    <w:p>
      <w:pPr>
        <w:pStyle w:val="Heading1"/>
        <w:spacing w:after="200" w:before="360"/>
      </w:pPr>
      <w:r>
        <w:t xml:space="preserve">Key Features to Highlight on the Website</w:t>
      </w:r>
    </w:p>
    <w:p>
      <w:pPr>
        <w:spacing w:after="120"/>
      </w:pPr>
      <w:r>
        <w:t xml:space="preserve">These ten features must be visible on the rebuilt legalplus.com. Each maps to a differentiator above and a specific location on the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80"/>
        <w:gridCol w:w="3680"/>
      </w:tblGrid>
      <w:tr>
        <w:trPr>
          <w:tblHeader/>
        </w:trPr>
        <w:tc>
          <w:tcPr>
            <w:tcW w:type="dxa" w:w="30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tcPr>
          <w:p>
            <w:pPr>
              <w:spacing w:after="0"/>
            </w:pPr>
            <w:r>
              <w:rPr>
                <w:b/>
                <w:bCs/>
                <w:color w:val="FFFFFF"/>
                <w:sz w:val="20"/>
                <w:szCs w:val="20"/>
              </w:rPr>
              <w:t xml:space="preserve">Feature to highlight</w:t>
            </w:r>
          </w:p>
        </w:tc>
        <w:tc>
          <w:tcPr>
            <w:tcW w:type="dxa" w:w="268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tcPr>
          <w:p>
            <w:pPr>
              <w:spacing w:after="0"/>
            </w:pPr>
            <w:r>
              <w:rPr>
                <w:b/>
                <w:bCs/>
                <w:color w:val="FFFFFF"/>
                <w:sz w:val="20"/>
                <w:szCs w:val="20"/>
              </w:rPr>
              <w:t xml:space="preserve">Where on the page</w:t>
            </w:r>
          </w:p>
        </w:tc>
        <w:tc>
          <w:tcPr>
            <w:tcW w:type="dxa" w:w="368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tcPr>
          <w:p>
            <w:pPr>
              <w:spacing w:after="0"/>
            </w:pPr>
            <w:r>
              <w:rPr>
                <w:b/>
                <w:bCs/>
                <w:color w:val="FFFFFF"/>
                <w:sz w:val="20"/>
                <w:szCs w:val="20"/>
              </w:rPr>
              <w:t xml:space="preserve">Why it matters</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color w:val="1E293B"/>
                <w:sz w:val="19"/>
                <w:szCs w:val="19"/>
              </w:rPr>
              <w:t xml:space="preserve">"Used by courts in WA, PA &amp; WV" trust badge</w:t>
            </w:r>
          </w:p>
        </w:tc>
        <w:tc>
          <w:tcPr>
            <w:tcW w:type="dxa" w:w="2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color w:val="1E293B"/>
                <w:sz w:val="19"/>
                <w:szCs w:val="19"/>
              </w:rPr>
              <w:t xml:space="preserve">Hero section + every state page</w:t>
            </w:r>
          </w:p>
        </w:tc>
        <w:tc>
          <w:tcPr>
            <w:tcW w:type="dxa" w:w="3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color w:val="1E293B"/>
                <w:sz w:val="19"/>
                <w:szCs w:val="19"/>
              </w:rPr>
              <w:t xml:space="preserve">MyPleadings cannot make this claim. Strongest single differentiator.</w:t>
            </w:r>
          </w:p>
        </w:tc>
      </w:tr>
      <w:tr>
        <w:trPr>
          <w:tblHeader w:val="false"/>
        </w:trPr>
        <w:tc>
          <w:tcPr>
            <w:tcW w:type="dxa" w:w="3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b/>
                <w:bCs/>
                <w:color w:val="1E293B"/>
                <w:sz w:val="19"/>
                <w:szCs w:val="19"/>
              </w:rPr>
              <w:t xml:space="preserve">Native calculation engine — "36 years of refinement"</w:t>
            </w:r>
          </w:p>
        </w:tc>
        <w:tc>
          <w:tcPr>
            <w:tcW w:type="dxa" w:w="26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b w:val="false"/>
                <w:bCs w:val="false"/>
                <w:color w:val="1E293B"/>
                <w:sz w:val="19"/>
                <w:szCs w:val="19"/>
              </w:rPr>
              <w:t xml:space="preserve">Hero subhead + Why-Choose-Us section</w:t>
            </w:r>
          </w:p>
        </w:tc>
        <w:tc>
          <w:tcPr>
            <w:tcW w:type="dxa" w:w="36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b w:val="false"/>
                <w:bCs w:val="false"/>
                <w:color w:val="1E293B"/>
                <w:sz w:val="19"/>
                <w:szCs w:val="19"/>
              </w:rPr>
              <w:t xml:space="preserve">Counters MyPleadings' third-party CS Suite dependency.</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color w:val="1E293B"/>
                <w:sz w:val="19"/>
                <w:szCs w:val="19"/>
              </w:rPr>
              <w:t xml:space="preserve">5-state coverage map</w:t>
            </w:r>
          </w:p>
        </w:tc>
        <w:tc>
          <w:tcPr>
            <w:tcW w:type="dxa" w:w="2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color w:val="1E293B"/>
                <w:sz w:val="19"/>
                <w:szCs w:val="19"/>
              </w:rPr>
              <w:t xml:space="preserve">Homepage above the fold</w:t>
            </w:r>
          </w:p>
        </w:tc>
        <w:tc>
          <w:tcPr>
            <w:tcW w:type="dxa" w:w="3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color w:val="1E293B"/>
                <w:sz w:val="19"/>
                <w:szCs w:val="19"/>
              </w:rPr>
              <w:t xml:space="preserve">MyPleadings is WA + OR only. Visual proof of broader scope.</w:t>
            </w:r>
          </w:p>
        </w:tc>
      </w:tr>
      <w:tr>
        <w:trPr>
          <w:tblHeader w:val="false"/>
        </w:trPr>
        <w:tc>
          <w:tcPr>
            <w:tcW w:type="dxa" w:w="3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b/>
                <w:bCs/>
                <w:color w:val="1E293B"/>
                <w:sz w:val="19"/>
                <w:szCs w:val="19"/>
              </w:rPr>
              <w:t xml:space="preserve">Cloud OR Desktop (PC + Mac) toggle</w:t>
            </w:r>
          </w:p>
        </w:tc>
        <w:tc>
          <w:tcPr>
            <w:tcW w:type="dxa" w:w="26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b w:val="false"/>
                <w:bCs w:val="false"/>
                <w:color w:val="1E293B"/>
                <w:sz w:val="19"/>
                <w:szCs w:val="19"/>
              </w:rPr>
              <w:t xml:space="preserve">Hero + every product/state page</w:t>
            </w:r>
          </w:p>
        </w:tc>
        <w:tc>
          <w:tcPr>
            <w:tcW w:type="dxa" w:w="36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b w:val="false"/>
                <w:bCs w:val="false"/>
                <w:color w:val="1E293B"/>
                <w:sz w:val="19"/>
                <w:szCs w:val="19"/>
              </w:rPr>
              <w:t xml:space="preserve">MyPleadings is browser-only. Major flexibility advantage.</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color w:val="1E293B"/>
                <w:sz w:val="19"/>
                <w:szCs w:val="19"/>
              </w:rPr>
              <w:t xml:space="preserve">Court-Updated Forms (saveable, editable, reusable)</w:t>
            </w:r>
          </w:p>
        </w:tc>
        <w:tc>
          <w:tcPr>
            <w:tcW w:type="dxa" w:w="2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color w:val="1E293B"/>
                <w:sz w:val="19"/>
                <w:szCs w:val="19"/>
              </w:rPr>
              <w:t xml:space="preserve">Features grid</w:t>
            </w:r>
          </w:p>
        </w:tc>
        <w:tc>
          <w:tcPr>
            <w:tcW w:type="dxa" w:w="3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color w:val="1E293B"/>
                <w:sz w:val="19"/>
                <w:szCs w:val="19"/>
              </w:rPr>
              <w:t xml:space="preserve">Goes beyond MyPleadings' "we monitor updates" — implies court-sourced authority.</w:t>
            </w:r>
          </w:p>
        </w:tc>
      </w:tr>
      <w:tr>
        <w:trPr>
          <w:tblHeader w:val="false"/>
        </w:trPr>
        <w:tc>
          <w:tcPr>
            <w:tcW w:type="dxa" w:w="3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b/>
                <w:bCs/>
                <w:color w:val="1E293B"/>
                <w:sz w:val="19"/>
                <w:szCs w:val="19"/>
              </w:rPr>
              <w:t xml:space="preserve">Combination package value at $69.95/mo</w:t>
            </w:r>
          </w:p>
        </w:tc>
        <w:tc>
          <w:tcPr>
            <w:tcW w:type="dxa" w:w="26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b w:val="false"/>
                <w:bCs w:val="false"/>
                <w:color w:val="1E293B"/>
                <w:sz w:val="19"/>
                <w:szCs w:val="19"/>
              </w:rPr>
              <w:t xml:space="preserve">Pricing section</w:t>
            </w:r>
          </w:p>
        </w:tc>
        <w:tc>
          <w:tcPr>
            <w:tcW w:type="dxa" w:w="36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b w:val="false"/>
                <w:bCs w:val="false"/>
                <w:color w:val="1E293B"/>
                <w:sz w:val="19"/>
                <w:szCs w:val="19"/>
              </w:rPr>
              <w:t xml:space="preserve">More features at lower per-feature cost than MyPleadings $50/mo.</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color w:val="1E293B"/>
                <w:sz w:val="19"/>
                <w:szCs w:val="19"/>
              </w:rPr>
              <w:t xml:space="preserve">30-day money-back guarantee badge</w:t>
            </w:r>
          </w:p>
        </w:tc>
        <w:tc>
          <w:tcPr>
            <w:tcW w:type="dxa" w:w="2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color w:val="1E293B"/>
                <w:sz w:val="19"/>
                <w:szCs w:val="19"/>
              </w:rPr>
              <w:t xml:space="preserve">Hero CTA + pricing cards</w:t>
            </w:r>
          </w:p>
        </w:tc>
        <w:tc>
          <w:tcPr>
            <w:tcW w:type="dxa" w:w="3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color w:val="1E293B"/>
                <w:sz w:val="19"/>
                <w:szCs w:val="19"/>
              </w:rPr>
              <w:t xml:space="preserve">Neutralizes MyPleadings' free trial advantage until real trial ships in Phase 3.</w:t>
            </w:r>
          </w:p>
        </w:tc>
      </w:tr>
      <w:tr>
        <w:trPr>
          <w:tblHeader w:val="false"/>
        </w:trPr>
        <w:tc>
          <w:tcPr>
            <w:tcW w:type="dxa" w:w="3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b/>
                <w:bCs/>
                <w:color w:val="1E293B"/>
                <w:sz w:val="19"/>
                <w:szCs w:val="19"/>
              </w:rPr>
              <w:t xml:space="preserve">Comparison block: "Why not MyPleadings?"</w:t>
            </w:r>
          </w:p>
        </w:tc>
        <w:tc>
          <w:tcPr>
            <w:tcW w:type="dxa" w:w="26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b w:val="false"/>
                <w:bCs w:val="false"/>
                <w:color w:val="1E293B"/>
                <w:sz w:val="19"/>
                <w:szCs w:val="19"/>
              </w:rPr>
              <w:t xml:space="preserve">New section between features and pricing</w:t>
            </w:r>
          </w:p>
        </w:tc>
        <w:tc>
          <w:tcPr>
            <w:tcW w:type="dxa" w:w="36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b w:val="false"/>
                <w:bCs w:val="false"/>
                <w:color w:val="1E293B"/>
                <w:sz w:val="19"/>
                <w:szCs w:val="19"/>
              </w:rPr>
              <w:t xml:space="preserve">Direct head-to-head — surfaces the 4 sharpest differentiators in one glance.</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color w:val="1E293B"/>
                <w:sz w:val="19"/>
                <w:szCs w:val="19"/>
              </w:rPr>
              <w:t xml:space="preserve">Named attorney testimonials across all 5 states</w:t>
            </w:r>
          </w:p>
        </w:tc>
        <w:tc>
          <w:tcPr>
            <w:tcW w:type="dxa" w:w="2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color w:val="1E293B"/>
                <w:sz w:val="19"/>
                <w:szCs w:val="19"/>
              </w:rPr>
              <w:t xml:space="preserve">Dedicated testimonials section</w:t>
            </w:r>
          </w:p>
        </w:tc>
        <w:tc>
          <w:tcPr>
            <w:tcW w:type="dxa" w:w="3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color w:val="1E293B"/>
                <w:sz w:val="19"/>
                <w:szCs w:val="19"/>
              </w:rPr>
              <w:t xml:space="preserve">Currently zero on site; MyPleadings has 10+. Phase 2 priority.</w:t>
            </w:r>
          </w:p>
        </w:tc>
      </w:tr>
      <w:tr>
        <w:trPr>
          <w:tblHeader w:val="false"/>
        </w:trPr>
        <w:tc>
          <w:tcPr>
            <w:tcW w:type="dxa" w:w="3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b/>
                <w:bCs/>
                <w:color w:val="1E293B"/>
                <w:sz w:val="19"/>
                <w:szCs w:val="19"/>
              </w:rPr>
              <w:t xml:space="preserve">State selector with native CTAs</w:t>
            </w:r>
          </w:p>
        </w:tc>
        <w:tc>
          <w:tcPr>
            <w:tcW w:type="dxa" w:w="26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b w:val="false"/>
                <w:bCs w:val="false"/>
                <w:color w:val="1E293B"/>
                <w:sz w:val="19"/>
                <w:szCs w:val="19"/>
              </w:rPr>
              <w:t xml:space="preserve">Hero + nav</w:t>
            </w:r>
          </w:p>
        </w:tc>
        <w:tc>
          <w:tcPr>
            <w:tcW w:type="dxa" w:w="36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pPr>
              <w:spacing w:after="0"/>
            </w:pPr>
            <w:r>
              <w:rPr>
                <w:b w:val="false"/>
                <w:bCs w:val="false"/>
                <w:color w:val="1E293B"/>
                <w:sz w:val="19"/>
                <w:szCs w:val="19"/>
              </w:rPr>
              <w:t xml:space="preserve">Routes attorneys to their jurisdiction; MyPleadings only has 2 to offer.</w:t>
            </w:r>
          </w:p>
        </w:tc>
      </w:tr>
    </w:tbl>
    <w:p>
      <w:pPr>
        <w:pStyle w:val="Heading1"/>
        <w:spacing w:after="200" w:before="360"/>
      </w:pPr>
      <w:r>
        <w:t xml:space="preserve">Specific Copy Recommendations</w:t>
      </w:r>
    </w:p>
    <w:p>
      <w:pPr>
        <w:spacing w:after="120"/>
      </w:pPr>
      <w:r>
        <w:t xml:space="preserve">Three concrete copy changes for the rebuilt homepage that translate the competitive analysis above into language a newly-admitted attorney will absorb in five seconds.</w:t>
      </w:r>
    </w:p>
    <w:p>
      <w:pPr>
        <w:pStyle w:val="Heading3"/>
        <w:spacing w:after="120" w:before="200"/>
      </w:pPr>
      <w:r>
        <w:t xml:space="preserve">Hero subheadline</w:t>
      </w:r>
    </w:p>
    <w:p>
      <w:pPr>
        <w:pStyle w:val="ListParagraph"/>
        <w:numPr>
          <w:ilvl w:val="0"/>
          <w:numId w:val="2"/>
        </w:numPr>
        <w:spacing w:after="80"/>
      </w:pPr>
      <w:r>
        <w:rPr>
          <w:b/>
          <w:bCs/>
        </w:rPr>
        <w:t xml:space="preserve">Current: </w:t>
      </w:r>
      <w:r>
        <w:rPr>
          <w:i/>
          <w:iCs/>
        </w:rPr>
        <w:t xml:space="preserve">“The Child Support Software Courts Trust”</w:t>
      </w:r>
    </w:p>
    <w:p>
      <w:pPr>
        <w:pStyle w:val="ListParagraph"/>
        <w:numPr>
          <w:ilvl w:val="0"/>
          <w:numId w:val="2"/>
        </w:numPr>
        <w:spacing w:after="80"/>
      </w:pPr>
      <w:r>
        <w:rPr>
          <w:b/>
          <w:bCs/>
        </w:rPr>
        <w:t xml:space="preserve">Recommended: </w:t>
      </w:r>
      <w:r>
        <w:rPr>
          <w:i/>
          <w:iCs/>
          <w:color w:val="16A34A"/>
        </w:rPr>
        <w:t xml:space="preserve">“The Child Support Software Washington Courts Use — Trusted by Family Law Attorneys for 36 Years.”</w:t>
      </w:r>
    </w:p>
    <w:p>
      <w:pPr>
        <w:spacing w:after="120"/>
      </w:pPr>
      <w:r>
        <w:rPr>
          <w:i/>
          <w:iCs/>
          <w:color w:val="475569"/>
          <w:sz w:val="20"/>
          <w:szCs w:val="20"/>
        </w:rPr>
        <w:t xml:space="preserve">The current line implies trust. The recommended line claims it. “Use” is a verifiable fact MyPleadings cannot replicate.</w:t>
      </w:r>
    </w:p>
    <w:p>
      <w:pPr>
        <w:pStyle w:val="Heading3"/>
        <w:spacing w:after="120" w:before="200"/>
      </w:pPr>
      <w:r>
        <w:t xml:space="preserve">Trust bar (just below hero)</w:t>
      </w:r>
    </w:p>
    <w:p>
      <w:pPr>
        <w:pStyle w:val="ListParagraph"/>
        <w:numPr>
          <w:ilvl w:val="0"/>
          <w:numId w:val="2"/>
        </w:numPr>
        <w:spacing w:after="80"/>
      </w:pPr>
      <w:r>
        <w:t xml:space="preserve">5 states  ·  36 years  ·  Used by WA, PA &amp; WV courts  ·  Cloud or desktop  ·  No setup fee, no minimum</w:t>
      </w:r>
    </w:p>
    <w:p>
      <w:pPr>
        <w:spacing w:after="120"/>
      </w:pPr>
      <w:r>
        <w:rPr>
          <w:i/>
          <w:iCs/>
          <w:color w:val="475569"/>
          <w:sz w:val="20"/>
          <w:szCs w:val="20"/>
        </w:rPr>
        <w:t xml:space="preserve">Every one of those is a direct slap to a MyPleadings weakness. “Used by courts” in particular cannot be matched.</w:t>
      </w:r>
    </w:p>
    <w:p>
      <w:pPr>
        <w:pStyle w:val="Heading3"/>
        <w:spacing w:after="120" w:before="200"/>
      </w:pPr>
      <w:r>
        <w:t xml:space="preserve">New comparison section: "Why not MyPleadings?"</w:t>
      </w:r>
    </w:p>
    <w:p>
      <w:pPr>
        <w:spacing w:after="120"/>
      </w:pPr>
      <w:r>
        <w:t xml:space="preserve">A single side-by-side card placed between Features and Pricing. Four data points only:</w:t>
      </w:r>
    </w:p>
    <w:p>
      <w:pPr>
        <w:pStyle w:val="ListParagraph"/>
        <w:numPr>
          <w:ilvl w:val="0"/>
          <w:numId w:val="2"/>
        </w:numPr>
        <w:spacing w:after="80"/>
      </w:pPr>
      <w:r>
        <w:t xml:space="preserve">Used by the courts themselves  —  not just “monitored”</w:t>
      </w:r>
    </w:p>
    <w:p>
      <w:pPr>
        <w:pStyle w:val="ListParagraph"/>
        <w:numPr>
          <w:ilvl w:val="0"/>
          <w:numId w:val="2"/>
        </w:numPr>
        <w:spacing w:after="80"/>
      </w:pPr>
      <w:r>
        <w:t xml:space="preserve">Native calculation engine  —  not a third-party partnership</w:t>
      </w:r>
    </w:p>
    <w:p>
      <w:pPr>
        <w:pStyle w:val="ListParagraph"/>
        <w:numPr>
          <w:ilvl w:val="0"/>
          <w:numId w:val="2"/>
        </w:numPr>
        <w:spacing w:after="80"/>
      </w:pPr>
      <w:r>
        <w:t xml:space="preserve">5 states, not 2</w:t>
      </w:r>
    </w:p>
    <w:p>
      <w:pPr>
        <w:pStyle w:val="ListParagraph"/>
        <w:numPr>
          <w:ilvl w:val="0"/>
          <w:numId w:val="2"/>
        </w:numPr>
        <w:spacing w:after="80"/>
      </w:pPr>
      <w:r>
        <w:t xml:space="preserve">Cloud + desktop, not browser-only</w:t>
      </w:r>
    </w:p>
    <w:p>
      <w:pPr>
        <w:spacing w:after="120"/>
      </w:pPr>
      <w:r>
        <w:t xml:space="preserve">Closing line beneath the four bullets:</w:t>
      </w:r>
    </w:p>
    <w:p>
      <w:pPr>
        <w:pBdr>
          <w:left w:val="single" w:color="C8973E" w:sz="24" w:space="12"/>
        </w:pBdr>
        <w:spacing w:after="200" w:before="200"/>
        <w:jc w:val="left"/>
      </w:pPr>
      <w:r>
        <w:rPr>
          <w:i/>
          <w:iCs/>
          <w:color w:val="1E3A5F"/>
          <w:sz w:val="24"/>
          <w:szCs w:val="24"/>
        </w:rPr>
        <w:t xml:space="preserve">And $5/month less.</w:t>
      </w:r>
    </w:p>
    <w:p>
      <w:r>
        <w:br w:type="page"/>
      </w:r>
    </w:p>
    <w:p>
      <w:pPr>
        <w:pStyle w:val="Heading1"/>
        <w:spacing w:after="200" w:before="360"/>
      </w:pPr>
      <w:r>
        <w:t xml:space="preserve">Strategic Takeaway</w:t>
      </w:r>
    </w:p>
    <w:p>
      <w:pPr>
        <w:spacing w:after="120"/>
      </w:pPr>
      <w:r>
        <w:t xml:space="preserve">LegalPlus has a stronger product, more states, deeper expertise, court endorsements, and a lower price than MyPleadings. MyPleadings has a better website and a lower barrier to entry.</w:t>
      </w:r>
    </w:p>
    <w:p>
      <w:pPr>
        <w:spacing w:after="120"/>
      </w:pPr>
      <w:r>
        <w:rPr>
          <w:b/>
          <w:bCs/>
          <w:color w:val="1E3A5F"/>
          <w:sz w:val="24"/>
          <w:szCs w:val="24"/>
        </w:rPr>
        <w:t xml:space="preserve">This is not a product problem. It is a presentation and access problem.</w:t>
      </w:r>
    </w:p>
    <w:p>
      <w:pPr>
        <w:spacing w:after="120"/>
      </w:pPr>
      <w:r>
        <w:t xml:space="preserve">The modernization roadmap directly addresses every gap identified above. Once Phase 1 ships — a modern, mobile-ready site with online signup, court endorsement language, the 5-state map, the cloud/desktop toggle, and the new comparison block — LegalPlus will be in a position to out-compete MyPleadings on every dimension that a newly-admitted attorney cares about.</w:t>
      </w:r>
    </w:p>
    <w:p>
      <w:pPr>
        <w:spacing w:after="120"/>
      </w:pPr>
      <w:r>
        <w:t xml:space="preserve">The mailer drop is the deadline. Every dollar spent on direct mail depends on what happens when a recipient types legalplus.com into a browser and the site they land on either earns the conversion or hands it to MyPleadings.</w:t>
      </w:r>
    </w:p>
    <w:p>
      <w:pPr>
        <w:spacing w:before="480"/>
        <w:jc w:val="center"/>
      </w:pPr>
      <w:r>
        <w:rPr>
          <w:i/>
          <w:iCs/>
          <w:color w:val="475569"/>
          <w:sz w:val="20"/>
          <w:szCs w:val="20"/>
        </w:rPr>
        <w:t xml:space="preserve">LegalPlus.com  |  36 years of court-trusted software — it's time the website reflected that.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897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LegalPlus Competitive Analysis</dc:title>
  <dc:creator>Monique Mason</dc:creator>
  <cp:lastModifiedBy>Un-named</cp:lastModifiedBy>
  <cp:revision>1</cp:revision>
  <dcterms:created xsi:type="dcterms:W3CDTF">2026-04-27T18:03:41.225Z</dcterms:created>
  <dcterms:modified xsi:type="dcterms:W3CDTF">2026-04-27T18:03:41.228Z</dcterms:modified>
</cp:coreProperties>
</file>

<file path=docProps/custom.xml><?xml version="1.0" encoding="utf-8"?>
<Properties xmlns="http://schemas.openxmlformats.org/officeDocument/2006/custom-properties" xmlns:vt="http://schemas.openxmlformats.org/officeDocument/2006/docPropsVTypes"/>
</file>