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552869" w:rsidRPr="00552869">
        <w:rPr>
          <w:rFonts w:ascii="Times New Roman" w:hAnsi="Times New Roman" w:cs="Times New Roman"/>
          <w:sz w:val="24"/>
          <w:szCs w:val="24"/>
        </w:rPr>
        <w:t>近五年来，中国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AA75DD">
        <w:rPr>
          <w:rFonts w:ascii="Times New Roman" w:hAnsi="Times New Roman" w:cs="Times New Roman"/>
          <w:sz w:val="24"/>
          <w:szCs w:val="24"/>
        </w:rPr>
        <w:t xml:space="preserve"> </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p>
    <w:p w:rsidR="00AA75DD" w:rsidRPr="0070300A" w:rsidRDefault="0070300A" w:rsidP="0070300A">
      <w:pPr>
        <w:widowControl/>
        <w:spacing w:line="360" w:lineRule="auto"/>
        <w:jc w:val="center"/>
      </w:pPr>
      <w:r>
        <w:rPr>
          <w:rFonts w:hint="eastAsia"/>
        </w:rPr>
        <w:t>表</w:t>
      </w:r>
      <w:r>
        <w:rPr>
          <w:rFonts w:hint="eastAsia"/>
        </w:rPr>
        <w:t>1 201</w:t>
      </w:r>
      <w:r w:rsidR="00D5122B">
        <w:rPr>
          <w:rFonts w:hint="eastAsia"/>
        </w:rPr>
        <w:t>3</w:t>
      </w:r>
      <w:r>
        <w:rPr>
          <w:rFonts w:hint="eastAsia"/>
        </w:rPr>
        <w:t>-201</w:t>
      </w:r>
      <w:r w:rsidR="00D5122B">
        <w:rPr>
          <w:rFonts w:hint="eastAsia"/>
        </w:rPr>
        <w:t>7</w:t>
      </w:r>
      <w:r>
        <w:rPr>
          <w:rFonts w:hint="eastAsia"/>
        </w:rPr>
        <w:t>年</w:t>
      </w:r>
      <w:r>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Pr>
          <w:rFonts w:ascii="Times New Roman" w:hAnsi="Times New Roman" w:cs="Times New Roman" w:hint="eastAsia"/>
          <w:sz w:val="24"/>
          <w:szCs w:val="24"/>
        </w:rPr>
        <w:t>资源使用统计</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w:t>
            </w:r>
            <w:r w:rsidRPr="00D00A33">
              <w:rPr>
                <w:rFonts w:ascii="Times New Roman" w:hAnsi="Times New Roman" w:cs="Times New Roman" w:hint="eastAsia"/>
                <w:szCs w:val="21"/>
              </w:rPr>
              <w:t>R/P</w:t>
            </w:r>
            <w:r w:rsidRPr="00D00A33">
              <w:rPr>
                <w:rFonts w:ascii="Times New Roman" w:hAnsi="Times New Roman" w:cs="Times New Roman"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Default="00D00A33" w:rsidP="007E1C9E">
      <w:pPr>
        <w:widowControl/>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(1)</w:t>
      </w:r>
      <w:r w:rsidR="002417DF" w:rsidRPr="002417DF">
        <w:rPr>
          <w:rFonts w:ascii="Times New Roman" w:hAnsi="Times New Roman" w:cs="Times New Roman" w:hint="eastAsia"/>
          <w:sz w:val="24"/>
          <w:szCs w:val="24"/>
        </w:rPr>
        <w:t>储量</w:t>
      </w:r>
      <w:r w:rsidR="002417DF" w:rsidRPr="002417DF">
        <w:rPr>
          <w:rFonts w:ascii="Times New Roman" w:hAnsi="Times New Roman" w:cs="Times New Roman" w:hint="eastAsia"/>
          <w:sz w:val="24"/>
          <w:szCs w:val="24"/>
        </w:rPr>
        <w:t>/</w:t>
      </w:r>
      <w:r w:rsidR="002417DF" w:rsidRPr="002417DF">
        <w:rPr>
          <w:rFonts w:ascii="Times New Roman" w:hAnsi="Times New Roman" w:cs="Times New Roman" w:hint="eastAsia"/>
          <w:sz w:val="24"/>
          <w:szCs w:val="24"/>
        </w:rPr>
        <w:t>产量（</w:t>
      </w:r>
      <w:r w:rsidR="002417DF" w:rsidRPr="002417DF">
        <w:rPr>
          <w:rFonts w:ascii="Times New Roman" w:hAnsi="Times New Roman" w:cs="Times New Roman" w:hint="eastAsia"/>
          <w:sz w:val="24"/>
          <w:szCs w:val="24"/>
        </w:rPr>
        <w:t>R/P</w:t>
      </w:r>
      <w:r w:rsidR="002417DF" w:rsidRPr="002417DF">
        <w:rPr>
          <w:rFonts w:ascii="Times New Roman" w:hAnsi="Times New Roman" w:cs="Times New Roman" w:hint="eastAsia"/>
          <w:sz w:val="24"/>
          <w:szCs w:val="24"/>
        </w:rPr>
        <w:t>）比率–用任何一年年底所剩余的储量除以该年度的产量，所得出的计算结果即表明如果产量继续保持在该年度的水平，这些剩余储量可供开采的年限。</w:t>
      </w:r>
    </w:p>
    <w:p w:rsidR="00D00A33" w:rsidRPr="00D00A33" w:rsidRDefault="00D00A33" w:rsidP="00D00A33">
      <w:pPr>
        <w:jc w:val="left"/>
        <w:rPr>
          <w:szCs w:val="21"/>
        </w:rPr>
      </w:pPr>
      <w:r>
        <w:rPr>
          <w:rFonts w:ascii="Times New Roman" w:hAnsi="Times New Roman" w:cs="Times New Roman" w:hint="eastAsia"/>
          <w:sz w:val="24"/>
          <w:szCs w:val="24"/>
        </w:rPr>
        <w:t>(2)</w:t>
      </w:r>
      <w:r w:rsidRPr="00D00A33">
        <w:rPr>
          <w:rFonts w:ascii="MHeiPRCforBP-Light-Identity-H" w:hAnsi="MHeiPRCforBP-Light-Identity-H"/>
          <w:color w:val="231F20"/>
          <w:szCs w:val="21"/>
        </w:rPr>
        <w:t xml:space="preserve"> </w:t>
      </w: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w:t>
      </w: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及</w:t>
      </w:r>
      <w:r w:rsidRPr="00D00A33">
        <w:rPr>
          <w:rFonts w:ascii="MHeiPRCforBP-Heavy-Identity-H" w:hAnsi="MHeiPRCforBP-Heavy-Identity-H"/>
          <w:color w:val="231F20"/>
          <w:szCs w:val="21"/>
        </w:rPr>
        <w:t>总计</w:t>
      </w:r>
      <w:r>
        <w:rPr>
          <w:rFonts w:ascii="MHeiPRCforBP-Heavy-Identity-H" w:hAnsi="MHeiPRCforBP-Heavy-Identity-H" w:hint="eastAsia"/>
          <w:color w:val="231F20"/>
          <w:szCs w:val="21"/>
        </w:rPr>
        <w:t>的单位都为：百万吨</w:t>
      </w:r>
    </w:p>
    <w:p w:rsidR="00D00A33" w:rsidRPr="00D00A33" w:rsidRDefault="00867988"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数据来源</w:t>
      </w:r>
      <w:r w:rsidR="00ED2F50">
        <w:rPr>
          <w:rFonts w:ascii="Times New Roman" w:hAnsi="Times New Roman" w:cs="Times New Roman" w:hint="eastAsia"/>
          <w:sz w:val="24"/>
          <w:szCs w:val="24"/>
        </w:rPr>
        <w:t>：</w:t>
      </w:r>
      <w:r w:rsidR="00ED2F50" w:rsidRPr="00ED2F50">
        <w:rPr>
          <w:rFonts w:ascii="Times New Roman" w:hAnsi="Times New Roman" w:cs="Times New Roman"/>
          <w:sz w:val="24"/>
          <w:szCs w:val="24"/>
        </w:rPr>
        <w:t>BP</w:t>
      </w:r>
      <w:r w:rsidR="00ED2F50" w:rsidRPr="00ED2F50">
        <w:rPr>
          <w:rFonts w:ascii="Times New Roman" w:hAnsi="Times New Roman" w:cs="Times New Roman"/>
          <w:sz w:val="24"/>
          <w:szCs w:val="24"/>
        </w:rPr>
        <w:t>世界能源</w:t>
      </w:r>
      <w:r w:rsidR="00ED2F50">
        <w:rPr>
          <w:rFonts w:ascii="Times New Roman" w:hAnsi="Times New Roman" w:cs="Times New Roman"/>
          <w:sz w:val="24"/>
          <w:szCs w:val="24"/>
        </w:rPr>
        <w:t>统计年</w:t>
      </w:r>
      <w:r w:rsidR="00ED2F50">
        <w:rPr>
          <w:rFonts w:ascii="Times New Roman" w:hAnsi="Times New Roman" w:cs="Times New Roman" w:hint="eastAsia"/>
          <w:sz w:val="24"/>
          <w:szCs w:val="24"/>
        </w:rPr>
        <w:t>鉴</w:t>
      </w:r>
      <w:r w:rsidR="00ED2F50">
        <w:rPr>
          <w:rFonts w:ascii="Times New Roman" w:hAnsi="Times New Roman" w:cs="Times New Roman" w:hint="eastAsia"/>
          <w:sz w:val="24"/>
          <w:szCs w:val="24"/>
        </w:rPr>
        <w:t>(2014-2018)</w:t>
      </w:r>
    </w:p>
    <w:p w:rsidR="00ED2F50" w:rsidRDefault="003C2933" w:rsidP="003C2933">
      <w:pPr>
        <w:widowControl/>
        <w:spacing w:line="360" w:lineRule="auto"/>
        <w:jc w:val="center"/>
        <w:rPr>
          <w:rFonts w:ascii="Times New Roman" w:hAnsi="Times New Roman" w:cs="Times New Roman" w:hint="eastAsia"/>
          <w:sz w:val="24"/>
          <w:szCs w:val="24"/>
        </w:rPr>
      </w:pPr>
      <w:r>
        <w:rPr>
          <w:rFonts w:hint="eastAsia"/>
        </w:rPr>
        <w:t>表</w:t>
      </w:r>
      <w:r>
        <w:rPr>
          <w:rFonts w:hint="eastAsia"/>
        </w:rPr>
        <w:t>2</w:t>
      </w:r>
      <w:r>
        <w:rPr>
          <w:rFonts w:hint="eastAsia"/>
        </w:rPr>
        <w:t xml:space="preserve"> 2013-2017</w:t>
      </w:r>
      <w:r>
        <w:rPr>
          <w:rFonts w:hint="eastAsia"/>
        </w:rPr>
        <w:t>年</w:t>
      </w:r>
      <w:r>
        <w:rPr>
          <w:rFonts w:ascii="Times New Roman" w:hAnsi="Times New Roman" w:cs="Times New Roman" w:hint="eastAsia"/>
          <w:sz w:val="24"/>
          <w:szCs w:val="24"/>
        </w:rPr>
        <w:t>中国煤炭</w:t>
      </w:r>
      <w:r w:rsidRPr="003C2933">
        <w:rPr>
          <w:rFonts w:ascii="Times New Roman" w:hAnsi="Times New Roman" w:cs="Times New Roman"/>
          <w:sz w:val="24"/>
          <w:szCs w:val="24"/>
        </w:rPr>
        <w:t>资源储量</w:t>
      </w:r>
      <w:r>
        <w:rPr>
          <w:rFonts w:ascii="Times New Roman" w:hAnsi="Times New Roman" w:cs="Times New Roman" w:hint="eastAsia"/>
          <w:sz w:val="24"/>
          <w:szCs w:val="24"/>
        </w:rPr>
        <w:t>统计</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D00A33" w:rsidRDefault="00231C31" w:rsidP="00834427">
            <w:pPr>
              <w:jc w:val="center"/>
              <w:rPr>
                <w:szCs w:val="21"/>
              </w:rPr>
            </w:pPr>
            <w:r w:rsidRPr="00D00A33">
              <w:rPr>
                <w:rFonts w:hint="eastAsia"/>
                <w:szCs w:val="21"/>
              </w:rPr>
              <w:t>年份</w:t>
            </w:r>
          </w:p>
        </w:tc>
        <w:tc>
          <w:tcPr>
            <w:tcW w:w="1255" w:type="dxa"/>
            <w:tcBorders>
              <w:left w:val="nil"/>
              <w:bottom w:val="single" w:sz="4" w:space="0" w:color="auto"/>
              <w:right w:val="nil"/>
            </w:tcBorders>
          </w:tcPr>
          <w:p w:rsidR="00231C31" w:rsidRPr="00D00A33" w:rsidRDefault="00231C31" w:rsidP="00834427">
            <w:pPr>
              <w:jc w:val="center"/>
              <w:rPr>
                <w:rFonts w:hint="eastAsia"/>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231C31" w:rsidRPr="00D00A33" w:rsidRDefault="00231C31" w:rsidP="00834427">
            <w:pPr>
              <w:jc w:val="center"/>
              <w:rPr>
                <w:rFonts w:hint="eastAsia"/>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231C31" w:rsidRPr="00D00A33" w:rsidRDefault="00231C31" w:rsidP="00834427">
            <w:pPr>
              <w:jc w:val="center"/>
              <w:rPr>
                <w:rFonts w:hint="eastAsia"/>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231C31" w:rsidRPr="00D00A33" w:rsidRDefault="00231C31" w:rsidP="00834427">
            <w:pPr>
              <w:jc w:val="center"/>
              <w:rPr>
                <w:rFonts w:hint="eastAsia"/>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231C31" w:rsidRDefault="00231C31" w:rsidP="00834427">
            <w:pPr>
              <w:jc w:val="center"/>
              <w:rPr>
                <w:rFonts w:hint="eastAsia"/>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231C31" w:rsidRDefault="00231C31" w:rsidP="00834427">
            <w:pPr>
              <w:jc w:val="center"/>
              <w:rPr>
                <w:rFonts w:hint="eastAsia"/>
                <w:szCs w:val="21"/>
              </w:rPr>
            </w:pPr>
            <w:r>
              <w:rPr>
                <w:rFonts w:hint="eastAsia"/>
                <w:szCs w:val="21"/>
              </w:rPr>
              <w:t>查明资源率</w:t>
            </w:r>
            <w:r>
              <w:rPr>
                <w:rFonts w:hint="eastAsia"/>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rFonts w:hint="eastAsia"/>
                <w:szCs w:val="21"/>
              </w:rPr>
            </w:pPr>
            <w:r>
              <w:rPr>
                <w:rFonts w:hint="eastAsia"/>
                <w:szCs w:val="21"/>
              </w:rPr>
              <w:t>14842.9</w:t>
            </w:r>
          </w:p>
        </w:tc>
        <w:tc>
          <w:tcPr>
            <w:tcW w:w="1013" w:type="dxa"/>
            <w:tcBorders>
              <w:left w:val="nil"/>
              <w:bottom w:val="nil"/>
              <w:right w:val="nil"/>
            </w:tcBorders>
            <w:vAlign w:val="center"/>
          </w:tcPr>
          <w:p w:rsidR="00231C31" w:rsidRPr="00D00A33" w:rsidRDefault="00231C31" w:rsidP="00496A89">
            <w:pPr>
              <w:jc w:val="center"/>
              <w:rPr>
                <w:rFonts w:hint="eastAsia"/>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rFonts w:hint="eastAsia"/>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rFonts w:hint="eastAsia"/>
                <w:szCs w:val="21"/>
              </w:rPr>
            </w:pPr>
            <w:r>
              <w:rPr>
                <w:rFonts w:hint="eastAsia"/>
                <w:szCs w:val="21"/>
              </w:rPr>
              <w:t>29.2</w:t>
            </w:r>
          </w:p>
        </w:tc>
        <w:tc>
          <w:tcPr>
            <w:tcW w:w="1178" w:type="dxa"/>
            <w:tcBorders>
              <w:left w:val="nil"/>
              <w:bottom w:val="nil"/>
              <w:right w:val="nil"/>
            </w:tcBorders>
          </w:tcPr>
          <w:p w:rsidR="00231C31" w:rsidRDefault="004A6D81" w:rsidP="00496A89">
            <w:pPr>
              <w:jc w:val="center"/>
              <w:rPr>
                <w:rFonts w:hint="eastAsia"/>
                <w:szCs w:val="21"/>
              </w:rPr>
            </w:pPr>
            <w:r>
              <w:rPr>
                <w:rFonts w:hint="eastAsia"/>
                <w:szCs w:val="21"/>
              </w:rPr>
              <w:t>36500</w:t>
            </w:r>
          </w:p>
        </w:tc>
        <w:tc>
          <w:tcPr>
            <w:tcW w:w="1178" w:type="dxa"/>
            <w:tcBorders>
              <w:left w:val="nil"/>
              <w:bottom w:val="nil"/>
              <w:right w:val="nil"/>
            </w:tcBorders>
          </w:tcPr>
          <w:p w:rsidR="00231C31" w:rsidRDefault="004A6D81" w:rsidP="00496A89">
            <w:pPr>
              <w:jc w:val="center"/>
              <w:rPr>
                <w:rFonts w:hint="eastAsia"/>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15317.0</w:t>
            </w:r>
          </w:p>
        </w:tc>
        <w:tc>
          <w:tcPr>
            <w:tcW w:w="1013"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15663.1</w:t>
            </w:r>
          </w:p>
        </w:tc>
        <w:tc>
          <w:tcPr>
            <w:tcW w:w="1013"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rFonts w:hint="eastAsia"/>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rFonts w:hint="eastAsia"/>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rFonts w:hint="eastAsia"/>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rFonts w:hint="eastAsia"/>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rFonts w:hint="eastAsia"/>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rFonts w:hint="eastAsia"/>
                <w:szCs w:val="21"/>
              </w:rPr>
            </w:pPr>
            <w:r>
              <w:rPr>
                <w:rFonts w:hint="eastAsia"/>
                <w:szCs w:val="21"/>
              </w:rPr>
              <w:t>815.</w:t>
            </w:r>
            <w:bookmarkStart w:id="2" w:name="_GoBack"/>
            <w:bookmarkEnd w:id="2"/>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rFonts w:hint="eastAsia"/>
                <w:szCs w:val="21"/>
              </w:rPr>
            </w:pPr>
            <w:r>
              <w:rPr>
                <w:rFonts w:hint="eastAsia"/>
                <w:szCs w:val="21"/>
              </w:rPr>
              <w:t>34.4</w:t>
            </w:r>
          </w:p>
        </w:tc>
        <w:tc>
          <w:tcPr>
            <w:tcW w:w="1178" w:type="dxa"/>
            <w:tcBorders>
              <w:top w:val="nil"/>
              <w:left w:val="nil"/>
              <w:right w:val="nil"/>
            </w:tcBorders>
          </w:tcPr>
          <w:p w:rsidR="00231C31" w:rsidRDefault="004A6D81" w:rsidP="00496A89">
            <w:pPr>
              <w:jc w:val="center"/>
              <w:rPr>
                <w:rFonts w:hint="eastAsia"/>
                <w:szCs w:val="21"/>
              </w:rPr>
            </w:pPr>
            <w:r>
              <w:rPr>
                <w:rFonts w:hint="eastAsia"/>
                <w:szCs w:val="21"/>
              </w:rPr>
              <w:t>39000</w:t>
            </w:r>
          </w:p>
        </w:tc>
        <w:tc>
          <w:tcPr>
            <w:tcW w:w="1178" w:type="dxa"/>
            <w:tcBorders>
              <w:top w:val="nil"/>
              <w:left w:val="nil"/>
              <w:right w:val="nil"/>
            </w:tcBorders>
          </w:tcPr>
          <w:p w:rsidR="00231C31" w:rsidRDefault="004A6D81" w:rsidP="00496A89">
            <w:pPr>
              <w:jc w:val="center"/>
              <w:rPr>
                <w:rFonts w:hint="eastAsia"/>
                <w:szCs w:val="21"/>
              </w:rPr>
            </w:pPr>
            <w:r>
              <w:rPr>
                <w:rFonts w:hint="eastAsia"/>
                <w:szCs w:val="21"/>
              </w:rPr>
              <w:t>31.0</w:t>
            </w:r>
          </w:p>
        </w:tc>
      </w:tr>
    </w:tbl>
    <w:p w:rsidR="004A6D81" w:rsidRPr="00D00A33" w:rsidRDefault="004A6D81" w:rsidP="004A6D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数据来源：</w:t>
      </w:r>
      <w:r w:rsidRPr="004A6D81">
        <w:rPr>
          <w:rFonts w:ascii="Times New Roman" w:hAnsi="Times New Roman" w:cs="Times New Roman"/>
          <w:sz w:val="24"/>
          <w:szCs w:val="24"/>
        </w:rPr>
        <w:t>中国矿产资源报告</w:t>
      </w:r>
      <w:r>
        <w:rPr>
          <w:rFonts w:ascii="Times New Roman" w:hAnsi="Times New Roman" w:cs="Times New Roman" w:hint="eastAsia"/>
          <w:sz w:val="24"/>
          <w:szCs w:val="24"/>
        </w:rPr>
        <w:t>(2014-2018)</w:t>
      </w:r>
    </w:p>
    <w:p w:rsidR="003C2933" w:rsidRPr="004A6D81" w:rsidRDefault="003C2933" w:rsidP="003C2933">
      <w:pPr>
        <w:widowControl/>
        <w:spacing w:line="360" w:lineRule="auto"/>
        <w:rPr>
          <w:rFonts w:ascii="Times New Roman" w:hAnsi="Times New Roman" w:cs="Times New Roman" w:hint="eastAsia"/>
          <w:sz w:val="24"/>
          <w:szCs w:val="24"/>
        </w:rPr>
      </w:pP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lastRenderedPageBreak/>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lastRenderedPageBreak/>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3" w:name="_Toc715717"/>
      <w:r>
        <w:rPr>
          <w:rFonts w:hint="eastAsia"/>
        </w:rPr>
        <w:t xml:space="preserve">1.2 </w:t>
      </w:r>
      <w:r>
        <w:rPr>
          <w:rFonts w:hint="eastAsia"/>
        </w:rPr>
        <w:t>煤大分子结构及分子模拟</w:t>
      </w:r>
      <w:bookmarkEnd w:id="3"/>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w:t>
      </w:r>
      <w:r>
        <w:rPr>
          <w:bCs/>
          <w:kern w:val="0"/>
          <w:sz w:val="24"/>
        </w:rPr>
        <w:lastRenderedPageBreak/>
        <w:t>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4"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4"/>
    </w:p>
    <w:p w:rsidR="00612CB7" w:rsidRDefault="00612CB7" w:rsidP="00612CB7">
      <w:pPr>
        <w:spacing w:line="360" w:lineRule="auto"/>
        <w:outlineLvl w:val="2"/>
      </w:pPr>
      <w:bookmarkStart w:id="5" w:name="_Toc715719"/>
      <w:r>
        <w:rPr>
          <w:rFonts w:hint="eastAsia"/>
        </w:rPr>
        <w:t xml:space="preserve">1.3.1 </w:t>
      </w:r>
      <w:proofErr w:type="spellStart"/>
      <w:r>
        <w:rPr>
          <w:rFonts w:hint="eastAsia"/>
        </w:rPr>
        <w:t>ReaxFF</w:t>
      </w:r>
      <w:proofErr w:type="spellEnd"/>
      <w:r>
        <w:rPr>
          <w:rFonts w:hint="eastAsia"/>
        </w:rPr>
        <w:t>反应力场简介</w:t>
      </w:r>
      <w:bookmarkEnd w:id="5"/>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6" w:name="_Toc715720"/>
      <w:r>
        <w:rPr>
          <w:rFonts w:hint="eastAsia"/>
        </w:rPr>
        <w:t xml:space="preserve">1.3.2 </w:t>
      </w:r>
      <w:proofErr w:type="spellStart"/>
      <w:r>
        <w:rPr>
          <w:rFonts w:hint="eastAsia"/>
        </w:rPr>
        <w:t>ReaxFF</w:t>
      </w:r>
      <w:proofErr w:type="spellEnd"/>
      <w:r>
        <w:rPr>
          <w:rFonts w:hint="eastAsia"/>
        </w:rPr>
        <w:t>力场的煤热解过程中的应用</w:t>
      </w:r>
      <w:bookmarkEnd w:id="6"/>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本论文主要研究内容及思路</w:t>
      </w:r>
      <w:bookmarkEnd w:id="7"/>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号原煤进行抽提实验，获得了屯兰</w:t>
      </w:r>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测试所得数据进行对比以验证结构模型的合理性。分析聚集态稳定构型中分子排列的特征及聚集态形成过程中氢键、范德华力等分子间弱相互作用力的变化。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53" w:rsidRDefault="00123753" w:rsidP="00612CB7">
      <w:r>
        <w:separator/>
      </w:r>
    </w:p>
  </w:endnote>
  <w:endnote w:type="continuationSeparator" w:id="0">
    <w:p w:rsidR="00123753" w:rsidRDefault="00123753"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53" w:rsidRDefault="00123753" w:rsidP="00612CB7">
      <w:r>
        <w:separator/>
      </w:r>
    </w:p>
  </w:footnote>
  <w:footnote w:type="continuationSeparator" w:id="0">
    <w:p w:rsidR="00123753" w:rsidRDefault="00123753"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123753"/>
    <w:rsid w:val="00152D7C"/>
    <w:rsid w:val="001E02AB"/>
    <w:rsid w:val="00231C31"/>
    <w:rsid w:val="002417DF"/>
    <w:rsid w:val="00335F80"/>
    <w:rsid w:val="003C2933"/>
    <w:rsid w:val="00473A03"/>
    <w:rsid w:val="00496A89"/>
    <w:rsid w:val="004A6D81"/>
    <w:rsid w:val="00552869"/>
    <w:rsid w:val="00612CB7"/>
    <w:rsid w:val="0070300A"/>
    <w:rsid w:val="007E1C9E"/>
    <w:rsid w:val="0081400D"/>
    <w:rsid w:val="00867988"/>
    <w:rsid w:val="00890E1C"/>
    <w:rsid w:val="00A17C8A"/>
    <w:rsid w:val="00AA75DD"/>
    <w:rsid w:val="00AC7F9B"/>
    <w:rsid w:val="00B062C6"/>
    <w:rsid w:val="00B116D1"/>
    <w:rsid w:val="00B42101"/>
    <w:rsid w:val="00B446A4"/>
    <w:rsid w:val="00C77D21"/>
    <w:rsid w:val="00CB70BB"/>
    <w:rsid w:val="00D00A33"/>
    <w:rsid w:val="00D5122B"/>
    <w:rsid w:val="00D579FE"/>
    <w:rsid w:val="00DC0332"/>
    <w:rsid w:val="00E60544"/>
    <w:rsid w:val="00EB72C5"/>
    <w:rsid w:val="00ED2F50"/>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16</Pages>
  <Words>5612</Words>
  <Characters>7857</Characters>
  <Application>Microsoft Office Word</Application>
  <DocSecurity>0</DocSecurity>
  <Lines>436</Lines>
  <Paragraphs>299</Paragraphs>
  <ScaleCrop>false</ScaleCrop>
  <Company/>
  <LinksUpToDate>false</LinksUpToDate>
  <CharactersWithSpaces>13170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16</cp:revision>
  <dcterms:created xsi:type="dcterms:W3CDTF">2019-02-26T16:18:00Z</dcterms:created>
  <dcterms:modified xsi:type="dcterms:W3CDTF">2019-03-10T14:47:00Z</dcterms:modified>
</cp:coreProperties>
</file>