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80" w:line="276" w:lineRule="auto"/>
              <w:jc w:val="both"/>
              <w:rPr/>
            </w:pPr>
            <w:r w:rsidDel="00000000" w:rsidR="00000000" w:rsidRPr="00000000">
              <w:rPr>
                <w:rtl w:val="0"/>
              </w:rPr>
              <w:t xml:space="preserve">En general, hemos cumplido con los tiempos de la Fase 1 y el inicio de la Fase 2 según nuestra Carta Gantt. Un factor facilitador ha sido el uso de Kanban para organizar las tareas diarias y nuestra adaptación de la metodología tradicional (SDLC) que nos permitió asegurar el diseño de la base de datos antes de programar. El principal factor que ha dificultado el desarrollo fue el retraso en la entrega de credenciales del servidor corporativo y la alta inconsistencia en los formatos de fecha de los archivos Excel iniciales.</w:t>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spacing w:after="80" w:line="276" w:lineRule="auto"/>
              <w:jc w:val="both"/>
              <w:rPr/>
            </w:pPr>
            <w:r w:rsidDel="00000000" w:rsidR="00000000" w:rsidRPr="00000000">
              <w:rPr>
                <w:rtl w:val="0"/>
              </w:rPr>
              <w:t xml:space="preserve">Para enfrentar la falta de credenciales y no bloquear el avance del proyecto, levantamos un entorno de base de datos Oracle local (on-premise) que nos permitió probar los scripts y la estructura del modelo. Respecto a la calidad de los datos del Excel, implementamos filtros de limpieza de datos nulos y estandarización de fechas utilizando la librería Pandas en Python para asegurar la integridad de la migración antes de llegar a la base de datos.</w:t>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spacing w:after="80" w:line="276" w:lineRule="auto"/>
              <w:jc w:val="both"/>
              <w:rPr/>
            </w:pPr>
            <w:r w:rsidDel="00000000" w:rsidR="00000000" w:rsidRPr="00000000">
              <w:rPr>
                <w:rtl w:val="0"/>
              </w:rPr>
              <w:t xml:space="preserve">Evalúo mi trabajo de forma positiva, ya que logré estructurar el Modelo Entidad-Relación (MER) y diseñar las políticas de seguridad (RBAC) y auditoría mediante Triggers en Oracle. Destaco mi capacidad analítica para resolver el modelamiento de la información. Para mejorar, debo optimizar mis tiempos en la escritura de código puro del pipeline ETL y mantener una comunicación técnica más continua con el encargado de Full Stack para que la integración sea más rápida.</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spacing w:after="80" w:line="276" w:lineRule="auto"/>
              <w:jc w:val="both"/>
              <w:rPr/>
            </w:pPr>
            <w:r w:rsidDel="00000000" w:rsidR="00000000" w:rsidRPr="00000000">
              <w:rPr>
                <w:rtl w:val="0"/>
              </w:rPr>
              <w:t xml:space="preserve">La inquietud principal sobre cómo proceder radica en la transición del entorno local al servidor de producción del cliente, garantizando que el pipeline de Python se ejecute sin problemas de latencia o permisos de red. La pregunta para el docente sería: ¿Cuál es la mejor práctica a nivel de base de datos para manejar el versionado o la revocación de un documento si la firma digital pierde validez a futuro, sin comprometer la inmutabilidad de la tabla de auditoría?</w:t>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spacing w:after="80" w:line="276" w:lineRule="auto"/>
              <w:jc w:val="both"/>
              <w:rPr/>
            </w:pPr>
            <w:r w:rsidDel="00000000" w:rsidR="00000000" w:rsidRPr="00000000">
              <w:rPr>
                <w:rtl w:val="0"/>
              </w:rPr>
              <w:t xml:space="preserve">Actualmente, la distribución de roles entre Gabriel Paiva (QA/Líder), Matías Castillo (Full Stack) y yo (Base de Datos) está bien delimitada y no requiere una redistribución completa. Sin embargo, debido a nuestra decisión técnica de adelantar las pruebas (modelo en V) para no dejarlas al final del semestre, hemos asignado nuevas actividades conjuntas de testeo continuo, donde el Líder QA se involucra tempranamente en la validación de mis scripts de inserción en Oracle.</w:t>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spacing w:after="80" w:line="276" w:lineRule="auto"/>
              <w:jc w:val="both"/>
              <w:rPr/>
            </w:pPr>
            <w:r w:rsidDel="00000000" w:rsidR="00000000" w:rsidRPr="00000000">
              <w:rPr>
                <w:rtl w:val="0"/>
              </w:rPr>
              <w:t xml:space="preserve">Evaluamos el trabajo en grupo como altamente estructurado. Destacamos la división técnica clara de los perfiles desde el inicio, lo que nos ha permitido avanzar de manera especializada (Analista/QA, Programador y DBA). El aspecto principal a mejorar es la sincronización de dependencias; necesitamos coordinar de forma más precisa el momento en que se termina la validación de la capa de datos en Oracle para que el desarrollo Full Stack pueda consumirla inmediatamente, evitando tiempos muertos entre fases.</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9525" r="9525" t="9525"/>
              <wp:wrapNone/>
              <wp:docPr id="1" name=""/>
              <a:graphic>
                <a:graphicData uri="http://schemas.microsoft.com/office/word/2010/wordprocessingGroup">
                  <wpg:wgp>
                    <wpg:cNvGrpSpPr>
                      <a:grpSpLocks/>
                    </wpg:cNvGrpSpPr>
                    <wpg:grpSpPr bwMode="auto">
                      <a:xfrm>
                        <a:off x="0" y="0"/>
                        <a:ext cx="7753350" cy="190500"/>
                        <a:chOff x="0" y="14970"/>
                        <a:chExt cx="12255" cy="300"/>
                      </a:xfrm>
                    </wpg:grpSpPr>
                    <wps:wsp>
                      <wps:cNvSpPr txBox="1">
                        <a:spLocks noChangeArrowheads="1"/>
                      </wps:cNvSpPr>
                      <wps:cNvPr id="34" name="Text Box 25"/>
                      <wps:spPr bwMode="auto">
                        <a:xfrm>
                          <a:off x="10803" y="14982"/>
                          <a:ext cx="659" cy="288"/>
                        </a:xfrm>
                        <a:prstGeom prst="rect">
                          <a:avLst/>
                        </a:prstGeom>
                        <a:noFill/>
                        <a:ln>
                          <a:noFill/>
                        </a:ln>
                        <a:extLst>
                          <a:ext uri="{909E8E84-426E-40DD-AFC4-6F175D3DCCD1}"/>
                          <a:ext uri="{91240B29-F687-4F45-9708-019B960494DF}"/>
                        </a:extLst>
                      </wps:spPr>
                      <wps:txbx>
                        <w:txbxContent>
                          <w:p w:rsidR="0005546F" w:rsidDel="00000000" w:rsidP="00000000" w:rsidRDefault="0005546F" w:rsidRPr="00000000" w14:paraId="33ABF99C" w14:textId="3C42C499">
                            <w:pPr>
                              <w:jc w:val="center"/>
                            </w:pPr>
                            <w:r w:rsidDel="00000000" w:rsidR="00000000" w:rsidRPr="00000000">
                              <w:fldChar w:fldCharType="begin"/>
                            </w:r>
                            <w:r w:rsidDel="00000000" w:rsidR="00000000" w:rsidRPr="00000000">
                              <w:instrText>PAGE    \* MERGEFORMAT</w:instrText>
                            </w:r>
                            <w:r w:rsidDel="00000000" w:rsidR="00000000" w:rsidRPr="00000000">
                              <w:fldChar w:fldCharType="separate"/>
                            </w:r>
                            <w:r w:rsidDel="00000000" w:rsidR="00B25651" w:rsidRPr="00B25651">
                              <w:rPr>
                                <w:noProof w:val="1"/>
                                <w:color w:val="8c8c8c" w:themeColor="background1" w:themeShade="00008C"/>
                                <w:lang w:val="es-ES"/>
                              </w:rPr>
                              <w:t>0</w:t>
                            </w:r>
                            <w:r w:rsidDel="00000000" w:rsidR="00000000" w:rsidRPr="00000000">
                              <w:rPr>
                                <w:color w:val="8c8c8c" w:themeColor="background1" w:themeShade="00008C"/>
                              </w:rPr>
                              <w:fldChar w:fldCharType="end"/>
                            </w:r>
                          </w:p>
                        </w:txbxContent>
                      </wps:txbx>
                      <wps:bodyPr anchorCtr="0" anchor="t" bIns="0" lIns="0" rIns="0" rot="0" upright="1" vert="horz" wrap="square" tIns="0">
                        <a:noAutofit/>
                      </wps:bodyPr>
                    </wps:wsp>
                    <wpg:grpSp>
                      <wpg:cNvGrpSpPr>
                        <a:grpSpLocks/>
                      </wpg:cNvGrpSpPr>
                      <wpg:cNvPr id="35" name="Group 31"/>
                      <wpg:grpSpPr bwMode="auto">
                        <a:xfrm flipH="1">
                          <a:off x="0" y="14970"/>
                          <a:ext cx="12255" cy="230"/>
                          <a:chOff x="-8" y="14978"/>
                          <a:chExt cx="12255" cy="230"/>
                        </a:xfrm>
                      </wpg:grpSpPr>
                      <wps:wsp>
                        <wps:cNvCnPr>
                          <a:cxnSpLocks noChangeShapeType="1"/>
                        </wps:cNvCnPr>
                        <wps:cNvPr id="36" name="AutoShape 27"/>
                        <wps:spPr bwMode="auto">
                          <a:xfrm flipV="1">
                            <a:off x="-8" y="14978"/>
                            <a:ext cx="1260" cy="230"/>
                          </a:xfrm>
                          <a:prstGeom prst="bentConnector3">
                            <a:avLst>
                              <a:gd fmla="val 50000" name="adj1"/>
                            </a:avLst>
                          </a:prstGeom>
                          <a:noFill/>
                          <a:ln w="9525">
                            <a:solidFill>
                              <a:srgbClr val="A5A5A5"/>
                            </a:solidFill>
                            <a:miter lim="800000"/>
                            <a:headEnd/>
                            <a:tailEnd/>
                          </a:ln>
                          <a:extLst>
                            <a:ext uri="{909E8E84-426E-40DD-AFC4-6F175D3DCCD1}"/>
                          </a:extLst>
                        </wps:spPr>
                        <wps:bodyPr/>
                      </wps:wsp>
                      <wps:wsp>
                        <wps:cNvCnPr>
                          <a:cxnSpLocks noChangeShapeType="1"/>
                        </wps:cNvCnPr>
                        <wps:cNvPr id="37" name="AutoShape 28"/>
                        <wps:spPr bwMode="auto">
                          <a:xfrm rot="10800000">
                            <a:off x="1252" y="14978"/>
                            <a:ext cx="10995" cy="230"/>
                          </a:xfrm>
                          <a:prstGeom prst="bentConnector3">
                            <a:avLst>
                              <a:gd fmla="val 96778" name="adj1"/>
                            </a:avLst>
                          </a:prstGeom>
                          <a:noFill/>
                          <a:ln w="9525">
                            <a:solidFill>
                              <a:srgbClr val="A5A5A5"/>
                            </a:solidFill>
                            <a:miter lim="800000"/>
                            <a:headEnd/>
                            <a:tailEnd/>
                          </a:ln>
                          <a:extLst>
                            <a:ext uri="{909E8E84-426E-40DD-AFC4-6F175D3DCCD1}"/>
                          </a:extLst>
                        </wps:spPr>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72400" cy="200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000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a:graphic>
                  <a:graphicData uri="http://schemas.openxmlformats.org/drawingml/2006/picture">
                    <pic:pic>
                      <pic:nvPicPr>
                        <pic:cNvPr id="0"/>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a:graphic>
                  <a:graphicData uri="http://schemas.openxmlformats.org/drawingml/2006/picture">
                    <pic:pic>
                      <pic:nvPicPr>
                        <pic:cNvPr id="0"/>
                        <pic:cNvPicPr preferRelativeResize="0"/>
                      </pic:nvPicPr>
                      <pic:blipFill>
                        <a:blip r:embed="rId1"/>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nul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