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D46AC0" w14:textId="77777777" w:rsidR="003F1020" w:rsidRPr="003F1020" w:rsidRDefault="003F1020" w:rsidP="003F1020">
            <w:pPr>
              <w:spacing w:after="80" w:line="276" w:lineRule="auto"/>
              <w:jc w:val="both"/>
            </w:pPr>
            <w:r w:rsidRPr="003F1020">
              <w:t>No cumplí todas las actividades en los tiempos de la carta Gantt. La Etapa 1, semanas 1 a 3, está hecha: prototipo navegable del sitio y del CRM, planos y documento técnico. Las etapas 2 y 3, persistencia y dominio, siguen sin código. No hay Oracle ni casos de uso.</w:t>
            </w:r>
          </w:p>
          <w:p w14:paraId="6D1017D9" w14:textId="77777777" w:rsidR="003F1020" w:rsidRPr="003F1020" w:rsidRDefault="003F1020" w:rsidP="003F1020">
            <w:pPr>
              <w:spacing w:after="80" w:line="276" w:lineRule="auto"/>
              <w:jc w:val="both"/>
            </w:pPr>
            <w:r w:rsidRPr="003F1020">
              <w:t>Lo que cambió desde esa planificación es el insumo del cliente. Ya está el formulario Excel que hoy asigna el folio y carga la base, la muestra de 34 campos y las plantillas de contrato de servicios, de bodega y de oficina, más arriendo de vehículo y de estacionamiento. El precio vigente del domicilio tributario es $59.990 más IVA al año, no los $180.000 hipotéticos del documento técnico. El pago documentado es transferencia y aviso por correo, y la firma del contrato es electrónica avanzada.</w:t>
            </w:r>
          </w:p>
          <w:p w14:paraId="755A5E67" w14:textId="063B7876" w:rsidR="001C7A45" w:rsidRPr="003F1020" w:rsidRDefault="003F1020">
            <w:pPr>
              <w:spacing w:after="80" w:line="276" w:lineRule="auto"/>
              <w:jc w:val="both"/>
            </w:pPr>
            <w:r w:rsidRPr="003F1020">
              <w:t>Eso facilita cerrar el diccionario y la plantilla. Lo que sigue dificultando el plan es que ese material todavía no está pasado al sistema: el desarrollo se quedó en el prototipo.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B68E65" w14:textId="77777777" w:rsidR="00656E55" w:rsidRPr="006A38B1" w:rsidRDefault="00656E55" w:rsidP="00656E55">
            <w:pPr>
              <w:spacing w:after="80" w:line="276" w:lineRule="auto"/>
              <w:jc w:val="both"/>
            </w:pPr>
            <w:r w:rsidRPr="00656E55">
              <w:t xml:space="preserve">El ajuste es usar estos archivos como fuente y partir la Etapa 2 sin esperar otra reunión. La ficha y el contrato de domicilio se arman con los 34 campos de la muestra y con los MERGEFIELD de los contratos de servicios. </w:t>
            </w:r>
            <w:r w:rsidRPr="006A38B1">
              <w:t>El folio sigue la regla de la especificación: iniciales de sucursal, correlativo y año. Oracle Free en Docker reemplaza la planilla mientras no exista una base de Easy Office.</w:t>
            </w:r>
          </w:p>
          <w:p w14:paraId="5F81BDB0" w14:textId="77777777" w:rsidR="00656E55" w:rsidRPr="006A38B1" w:rsidRDefault="00656E55" w:rsidP="00656E55">
            <w:pPr>
              <w:spacing w:after="80" w:line="276" w:lineRule="auto"/>
              <w:jc w:val="both"/>
            </w:pPr>
            <w:r w:rsidRPr="006A38B1">
              <w:t xml:space="preserve">El pago del piloto se registra como transferencia confirmada por el ejecutivo, que es el circuito de los contratos, y no como pasarela. La firma avanzada con notarios queda detrás de un adaptador de prueba: el PDF del contrato sí se genera en la ficha. Bodega, creación de empresa, </w:t>
            </w:r>
            <w:proofErr w:type="spellStart"/>
            <w:r w:rsidRPr="006A38B1">
              <w:t>webmail</w:t>
            </w:r>
            <w:proofErr w:type="spellEnd"/>
            <w:r w:rsidRPr="006A38B1">
              <w:t>, poder simple, acuerdo de accionistas y arriendos quedan fuera del flujo que se programa ahora. El modelo solo reserva hasta tres servicios por contrato, porque así viene la plantilla.</w:t>
            </w:r>
          </w:p>
          <w:p w14:paraId="26E48823" w14:textId="79A32686" w:rsidR="001C7A45" w:rsidRDefault="001C7A45">
            <w:pPr>
              <w:spacing w:after="80" w:line="276" w:lineRule="auto"/>
              <w:jc w:val="both"/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8A153C4" w14:textId="77777777" w:rsidR="006A38B1" w:rsidRPr="006A38B1" w:rsidRDefault="006A38B1" w:rsidP="006A38B1">
            <w:pPr>
              <w:spacing w:after="80" w:line="276" w:lineRule="auto"/>
              <w:jc w:val="both"/>
            </w:pPr>
            <w:r w:rsidRPr="006A38B1">
              <w:t xml:space="preserve">Destaco que el prototipo ya recorre contratar, revisar y el CRM, y que ahora el diseño se puede contrastar con documentos reales, no solo con supuestos. El formulario, la muestra de campos y los contratos explican el problema que el proyecto quiere reemplazar: </w:t>
            </w:r>
            <w:proofErr w:type="spellStart"/>
            <w:r w:rsidRPr="006A38B1">
              <w:t>redigitar</w:t>
            </w:r>
            <w:proofErr w:type="spellEnd"/>
            <w:r w:rsidRPr="006A38B1">
              <w:t xml:space="preserve"> en Excel y combinar correspondencia en Word.</w:t>
            </w:r>
          </w:p>
          <w:p w14:paraId="1017752D" w14:textId="77777777" w:rsidR="006A38B1" w:rsidRPr="006A38B1" w:rsidRDefault="006A38B1" w:rsidP="006A38B1">
            <w:pPr>
              <w:spacing w:after="80" w:line="276" w:lineRule="auto"/>
              <w:jc w:val="both"/>
            </w:pPr>
            <w:r w:rsidRPr="006A38B1">
              <w:t>Debo corregir el documento técnico, que sigue tratando como pendientes el Excel, el precio y la plantilla, y debo empezar la persistencia. Revisar estos archivos no cuenta como la Etapa 2 mientras los campos no estén en Oracle y el alta del CRM no deje de usar datos de demostración.</w:t>
            </w:r>
          </w:p>
          <w:p w14:paraId="28475DCA" w14:textId="0309DF97" w:rsidR="001C7A45" w:rsidRDefault="001C7A45">
            <w:pPr>
              <w:spacing w:after="80" w:line="276" w:lineRule="auto"/>
              <w:jc w:val="both"/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4E5D544" w14:textId="08F7F22A" w:rsidR="001C7A45" w:rsidRDefault="006A38B1">
            <w:pPr>
              <w:spacing w:after="80" w:line="276" w:lineRule="auto"/>
              <w:jc w:val="both"/>
            </w:pPr>
            <w:r w:rsidRPr="006A38B1">
              <w:t>La inquietud es mantener el piloto en domicilio tributario ahora que el cliente mostró un contrato de varios servicios y otros documentos. La pregunta es esta: para la Fase 2, ¿basta generar el PDF del contrato de domicilio con los campos reales y registrar el pago como transferencia confirmada, dejando la red de notarios como adaptador de prueba? Quiero confirmar si las alertas internas a 60, 30, 15 y 7 días pueden convivir con el aviso de término de 30 días que trae el contrato, sin implementar todavía bodega, creación de empresa ni los arriendos.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033651A" w14:textId="280CEEF5" w:rsidR="001C7A45" w:rsidRDefault="006A38B1">
            <w:pPr>
              <w:spacing w:after="80" w:line="276" w:lineRule="auto"/>
              <w:jc w:val="both"/>
            </w:pPr>
            <w:r w:rsidRPr="006A38B1">
              <w:t>El proyecto está definido de forma individual, así que no hay tareas que repartir entre integrantes. El orden se mantiene: persistencia con estos campos, dominio, CRM conectado, registro del pago y PDF. La tarea que adelanto es cargar el diccionario de la muestra y la plantilla de domicilio. No agrego al plan el poder simple, el acuerdo de accionistas ni los contratos de arriendo.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BA504B" w14:textId="19B6BF92" w:rsidR="001C7A45" w:rsidRDefault="00421803">
            <w:pPr>
              <w:spacing w:after="80" w:line="276" w:lineRule="auto"/>
              <w:jc w:val="both"/>
            </w:pPr>
            <w:r w:rsidRPr="00421803">
              <w:t>La revisión con el docente y con los pares sirve para validar este recorte: un contrato de domicilio generado desde los campos reales, y el resto de documentos solo documentado. Lo que me ha servido es dejar el prototipo y los planos revisables. Lo que debo mejorar es llevar a esa revisión la diferencia entre el documento técnico de septiembre y los archivos que Easy Office entregó después, antes de la evaluación sumativa.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FD4CB" w14:textId="77777777" w:rsidR="00F702B1" w:rsidRDefault="00F702B1" w:rsidP="00DF38AE">
      <w:pPr>
        <w:spacing w:after="0" w:line="240" w:lineRule="auto"/>
      </w:pPr>
      <w:r>
        <w:separator/>
      </w:r>
    </w:p>
  </w:endnote>
  <w:endnote w:type="continuationSeparator" w:id="0">
    <w:p w14:paraId="64F0FEA1" w14:textId="77777777" w:rsidR="00F702B1" w:rsidRDefault="00F702B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A55A" w14:textId="77777777" w:rsidR="00F702B1" w:rsidRDefault="00F702B1" w:rsidP="00DF38AE">
      <w:pPr>
        <w:spacing w:after="0" w:line="240" w:lineRule="auto"/>
      </w:pPr>
      <w:r>
        <w:separator/>
      </w:r>
    </w:p>
  </w:footnote>
  <w:footnote w:type="continuationSeparator" w:id="0">
    <w:p w14:paraId="16264903" w14:textId="77777777" w:rsidR="00F702B1" w:rsidRDefault="00F702B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636897">
    <w:abstractNumId w:val="3"/>
  </w:num>
  <w:num w:numId="2" w16cid:durableId="1138104549">
    <w:abstractNumId w:val="8"/>
  </w:num>
  <w:num w:numId="3" w16cid:durableId="265499696">
    <w:abstractNumId w:val="12"/>
  </w:num>
  <w:num w:numId="4" w16cid:durableId="1510485744">
    <w:abstractNumId w:val="28"/>
  </w:num>
  <w:num w:numId="5" w16cid:durableId="799345233">
    <w:abstractNumId w:val="30"/>
  </w:num>
  <w:num w:numId="6" w16cid:durableId="1736779903">
    <w:abstractNumId w:val="4"/>
  </w:num>
  <w:num w:numId="7" w16cid:durableId="528106528">
    <w:abstractNumId w:val="11"/>
  </w:num>
  <w:num w:numId="8" w16cid:durableId="496115480">
    <w:abstractNumId w:val="19"/>
  </w:num>
  <w:num w:numId="9" w16cid:durableId="1430347228">
    <w:abstractNumId w:val="15"/>
  </w:num>
  <w:num w:numId="10" w16cid:durableId="1399671398">
    <w:abstractNumId w:val="9"/>
  </w:num>
  <w:num w:numId="11" w16cid:durableId="1947731168">
    <w:abstractNumId w:val="24"/>
  </w:num>
  <w:num w:numId="12" w16cid:durableId="1959793774">
    <w:abstractNumId w:val="35"/>
  </w:num>
  <w:num w:numId="13" w16cid:durableId="2009164025">
    <w:abstractNumId w:val="29"/>
  </w:num>
  <w:num w:numId="14" w16cid:durableId="275715057">
    <w:abstractNumId w:val="1"/>
  </w:num>
  <w:num w:numId="15" w16cid:durableId="1758286887">
    <w:abstractNumId w:val="36"/>
  </w:num>
  <w:num w:numId="16" w16cid:durableId="1016611890">
    <w:abstractNumId w:val="21"/>
  </w:num>
  <w:num w:numId="17" w16cid:durableId="1491870287">
    <w:abstractNumId w:val="17"/>
  </w:num>
  <w:num w:numId="18" w16cid:durableId="1441148348">
    <w:abstractNumId w:val="31"/>
  </w:num>
  <w:num w:numId="19" w16cid:durableId="410471114">
    <w:abstractNumId w:val="10"/>
  </w:num>
  <w:num w:numId="20" w16cid:durableId="437800337">
    <w:abstractNumId w:val="39"/>
  </w:num>
  <w:num w:numId="21" w16cid:durableId="81802604">
    <w:abstractNumId w:val="34"/>
  </w:num>
  <w:num w:numId="22" w16cid:durableId="803818491">
    <w:abstractNumId w:val="13"/>
  </w:num>
  <w:num w:numId="23" w16cid:durableId="1196695676">
    <w:abstractNumId w:val="14"/>
  </w:num>
  <w:num w:numId="24" w16cid:durableId="843400048">
    <w:abstractNumId w:val="5"/>
  </w:num>
  <w:num w:numId="25" w16cid:durableId="2131435276">
    <w:abstractNumId w:val="16"/>
  </w:num>
  <w:num w:numId="26" w16cid:durableId="1216354054">
    <w:abstractNumId w:val="20"/>
  </w:num>
  <w:num w:numId="27" w16cid:durableId="1566915009">
    <w:abstractNumId w:val="23"/>
  </w:num>
  <w:num w:numId="28" w16cid:durableId="2143495940">
    <w:abstractNumId w:val="0"/>
  </w:num>
  <w:num w:numId="29" w16cid:durableId="104161132">
    <w:abstractNumId w:val="18"/>
  </w:num>
  <w:num w:numId="30" w16cid:durableId="2010595046">
    <w:abstractNumId w:val="22"/>
  </w:num>
  <w:num w:numId="31" w16cid:durableId="1593737059">
    <w:abstractNumId w:val="2"/>
  </w:num>
  <w:num w:numId="32" w16cid:durableId="155148557">
    <w:abstractNumId w:val="7"/>
  </w:num>
  <w:num w:numId="33" w16cid:durableId="11953917">
    <w:abstractNumId w:val="32"/>
  </w:num>
  <w:num w:numId="34" w16cid:durableId="654602042">
    <w:abstractNumId w:val="38"/>
  </w:num>
  <w:num w:numId="35" w16cid:durableId="1605989928">
    <w:abstractNumId w:val="6"/>
  </w:num>
  <w:num w:numId="36" w16cid:durableId="2000498712">
    <w:abstractNumId w:val="25"/>
  </w:num>
  <w:num w:numId="37" w16cid:durableId="561869574">
    <w:abstractNumId w:val="37"/>
  </w:num>
  <w:num w:numId="38" w16cid:durableId="75058465">
    <w:abstractNumId w:val="27"/>
  </w:num>
  <w:num w:numId="39" w16cid:durableId="249237591">
    <w:abstractNumId w:val="26"/>
  </w:num>
  <w:num w:numId="40" w16cid:durableId="29105456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C7A45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0EC0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998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020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1803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B60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6E55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8B1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3870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2B1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679</Words>
  <Characters>3874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Gabriel Chamorro</dc:creator>
  <cp:keywords>TimeFlow, Capstone, Fase 2</cp:keywords>
  <dc:description/>
  <cp:lastModifiedBy>☣️αηοηγΜουs 🚫㊗️</cp:lastModifiedBy>
  <cp:revision>47</cp:revision>
  <cp:lastPrinted>2019-12-16T20:10:00Z</cp:lastPrinted>
  <dcterms:created xsi:type="dcterms:W3CDTF">2021-12-31T12:50:00Z</dcterms:created>
  <dcterms:modified xsi:type="dcterms:W3CDTF">2026-10-23T17:50:00Z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