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D33C" w14:textId="77777777" w:rsidR="007C255B" w:rsidRPr="007C255B" w:rsidRDefault="007C255B" w:rsidP="007C255B">
      <w:pPr>
        <w:rPr>
          <w:b/>
          <w:bCs/>
        </w:rPr>
      </w:pPr>
      <w:r w:rsidRPr="007C255B">
        <w:rPr>
          <w:b/>
          <w:bCs/>
        </w:rPr>
        <w:t>Chapter 2: The Biology of the Reversion</w:t>
      </w:r>
    </w:p>
    <w:p w14:paraId="6E2D7B90" w14:textId="77777777" w:rsidR="007C255B" w:rsidRPr="007C255B" w:rsidRDefault="007C255B" w:rsidP="007C255B">
      <w:pPr>
        <w:rPr>
          <w:b/>
          <w:bCs/>
        </w:rPr>
      </w:pPr>
      <w:r w:rsidRPr="007C255B">
        <w:rPr>
          <w:b/>
          <w:bCs/>
        </w:rPr>
        <w:t>The Placozoan-Dinoflagellate Symbiosis and the GDH Loss</w:t>
      </w:r>
    </w:p>
    <w:p w14:paraId="61EA2A30" w14:textId="77777777" w:rsidR="007C255B" w:rsidRPr="007C255B" w:rsidRDefault="007C255B" w:rsidP="007C255B">
      <w:r w:rsidRPr="007C255B">
        <w:rPr>
          <w:b/>
          <w:bCs/>
        </w:rPr>
        <w:t>2.1 The Ancestral Template: The Placozoan Limit</w:t>
      </w:r>
      <w:r w:rsidRPr="007C255B">
        <w:br/>
        <w:t>To understand </w:t>
      </w:r>
      <w:r w:rsidRPr="007C255B">
        <w:rPr>
          <w:i/>
          <w:iCs/>
        </w:rPr>
        <w:t>why</w:t>
      </w:r>
      <w:r w:rsidRPr="007C255B">
        <w:t> the cell reverts specifically to glycolysis and Reductive Carboxylation (Reverse TCA), we must look to the evolutionary ancestor of all metazoan tissues: the </w:t>
      </w:r>
      <w:r w:rsidRPr="007C255B">
        <w:rPr>
          <w:b/>
          <w:bCs/>
        </w:rPr>
        <w:t>Placozoan</w:t>
      </w:r>
      <w:r w:rsidRPr="007C255B">
        <w:t> (</w:t>
      </w:r>
      <w:r w:rsidRPr="007C255B">
        <w:rPr>
          <w:i/>
          <w:iCs/>
        </w:rPr>
        <w:t>Trichoplax adhaerens</w:t>
      </w:r>
      <w:r w:rsidRPr="007C255B">
        <w:t>).</w:t>
      </w:r>
    </w:p>
    <w:p w14:paraId="6F615C69" w14:textId="77777777" w:rsidR="007C255B" w:rsidRPr="007C255B" w:rsidRDefault="007C255B" w:rsidP="007C255B">
      <w:r w:rsidRPr="007C255B">
        <w:t>The Placozoan represents the "Ground Zero" of multicellularity. Crucially, phylogenetic analysis reveals a specific metabolic "scar" in this lineage: the </w:t>
      </w:r>
      <w:r w:rsidRPr="007C255B">
        <w:rPr>
          <w:b/>
          <w:bCs/>
        </w:rPr>
        <w:t>Loss of Glutamate Dehydrogenase (GDH)</w:t>
      </w:r>
      <w:r w:rsidRPr="007C255B">
        <w:t>. GDH is the enzyme responsible for locking the TCA cycle in the forward, oxidative direction (burning Glutamate for fuel). Without GDH, the Placozoan cannot efficiently burn protein for energy; instead, it is forced to run the cycle backward.​</w:t>
      </w:r>
    </w:p>
    <w:p w14:paraId="05231458" w14:textId="77777777" w:rsidR="007C255B" w:rsidRPr="007C255B" w:rsidRDefault="007C255B" w:rsidP="007C255B">
      <w:r w:rsidRPr="007C255B">
        <w:rPr>
          <w:b/>
          <w:bCs/>
        </w:rPr>
        <w:t>2.2 The Reverse TCA Cycle (Reductive Carboxylation)</w:t>
      </w:r>
      <w:r w:rsidRPr="007C255B">
        <w:br/>
        <w:t>In the absence of the GDH lock, the Placozoan metabolism defaults to </w:t>
      </w:r>
      <w:r w:rsidRPr="007C255B">
        <w:rPr>
          <w:b/>
          <w:bCs/>
        </w:rPr>
        <w:t>Reductive Carboxylation</w:t>
      </w:r>
      <w:r w:rsidRPr="007C255B">
        <w:t>. Instead of oxidizing Acetyl-CoA to generate ATP (Forward TCA), the cycle consumes Acetyl-CoA and CO2 to generate Citrate and Lipids (Reverse TCA).</w:t>
      </w:r>
    </w:p>
    <w:p w14:paraId="2DD03289" w14:textId="77777777" w:rsidR="007C255B" w:rsidRPr="007C255B" w:rsidRDefault="007C255B" w:rsidP="007C255B">
      <w:r w:rsidRPr="007C255B">
        <w:t>This is precisely the metabolic signature of the Warburg Effect in cancer. Cancer cells are not "broken" burners; they are functional </w:t>
      </w:r>
      <w:r w:rsidRPr="007C255B">
        <w:rPr>
          <w:b/>
          <w:bCs/>
        </w:rPr>
        <w:t>builders</w:t>
      </w:r>
      <w:r w:rsidRPr="007C255B">
        <w:t>. They act exactly like the Placozoan: they take in nutrients and use the Reverse TCA cycle to build fatty acids and membranes (biomass) rather than heat. The cancer cell has effectively performed a "System Restore" to the Placozoan operating system.​</w:t>
      </w:r>
    </w:p>
    <w:p w14:paraId="272F7EF3" w14:textId="77777777" w:rsidR="007C255B" w:rsidRPr="007C255B" w:rsidRDefault="007C255B" w:rsidP="007C255B">
      <w:r w:rsidRPr="007C255B">
        <w:rPr>
          <w:b/>
          <w:bCs/>
        </w:rPr>
        <w:t>2.3 The Dinoflagellate Connection</w:t>
      </w:r>
      <w:r w:rsidRPr="007C255B">
        <w:br/>
        <w:t>This reversion explains the parasitic nature of the tumor. The Placozoan lineage likely survived through a symbiotic merger with photosynthetic or scavenging partners (Dinoflagellates), essentially becoming a "host" that stored energy rather than generating it.</w:t>
      </w:r>
    </w:p>
    <w:p w14:paraId="6425E733" w14:textId="77777777" w:rsidR="007C255B" w:rsidRPr="007C255B" w:rsidRDefault="007C255B" w:rsidP="007C255B">
      <w:r w:rsidRPr="007C255B">
        <w:t>When a human somatic cell undergoes the Voltage Drop (Chapter 1), it loses the connection to the "Solar" organism (the mitochondria/Big Man archetype). Isolated and depolarized, it accesses the only other survival program in its genome: the </w:t>
      </w:r>
      <w:r w:rsidRPr="007C255B">
        <w:rPr>
          <w:b/>
          <w:bCs/>
        </w:rPr>
        <w:t>Symbiotic Host</w:t>
      </w:r>
      <w:r w:rsidRPr="007C255B">
        <w:t> program. It begins to behave like the ancestral Placozoan, soliciting resources (angiogenesis) to store as mass, waiting for a symbiont that never arrives.</w:t>
      </w:r>
    </w:p>
    <w:p w14:paraId="1D236ED7" w14:textId="77777777" w:rsidR="007C255B" w:rsidRPr="007C255B" w:rsidRDefault="007C255B" w:rsidP="007C255B">
      <w:r w:rsidRPr="007C255B">
        <w:rPr>
          <w:b/>
          <w:bCs/>
        </w:rPr>
        <w:t>2.4 Conclusion: The Unified Theory</w:t>
      </w:r>
      <w:r w:rsidRPr="007C255B">
        <w:br/>
        <w:t>The Warburg Effect is the biological manifestation of the physical Voltage Drop.</w:t>
      </w:r>
    </w:p>
    <w:p w14:paraId="735FE360" w14:textId="77777777" w:rsidR="007C255B" w:rsidRPr="007C255B" w:rsidRDefault="007C255B" w:rsidP="007C255B">
      <w:pPr>
        <w:numPr>
          <w:ilvl w:val="0"/>
          <w:numId w:val="1"/>
        </w:numPr>
      </w:pPr>
      <w:r w:rsidRPr="007C255B">
        <w:rPr>
          <w:b/>
          <w:bCs/>
        </w:rPr>
        <w:lastRenderedPageBreak/>
        <w:t>Physics:</w:t>
      </w:r>
      <w:r w:rsidRPr="007C255B">
        <w:t> The cell loses the voltage (-70mV $\to$ -15mV) required to maintain the differentiated Vector.</w:t>
      </w:r>
    </w:p>
    <w:p w14:paraId="40A2DFB2" w14:textId="77777777" w:rsidR="007C255B" w:rsidRPr="007C255B" w:rsidRDefault="007C255B" w:rsidP="007C255B">
      <w:pPr>
        <w:numPr>
          <w:ilvl w:val="0"/>
          <w:numId w:val="1"/>
        </w:numPr>
      </w:pPr>
      <w:r w:rsidRPr="007C255B">
        <w:rPr>
          <w:b/>
          <w:bCs/>
        </w:rPr>
        <w:t>Biology:</w:t>
      </w:r>
      <w:r w:rsidRPr="007C255B">
        <w:t> In the absence of high voltage, the enzymatic "lock" (GDH function) fails or is bypassed.</w:t>
      </w:r>
    </w:p>
    <w:p w14:paraId="436C9963" w14:textId="77777777" w:rsidR="007C255B" w:rsidRPr="007C255B" w:rsidRDefault="007C255B" w:rsidP="007C255B">
      <w:pPr>
        <w:numPr>
          <w:ilvl w:val="0"/>
          <w:numId w:val="1"/>
        </w:numPr>
      </w:pPr>
      <w:r w:rsidRPr="007C255B">
        <w:rPr>
          <w:b/>
          <w:bCs/>
        </w:rPr>
        <w:t>Result:</w:t>
      </w:r>
      <w:r w:rsidRPr="007C255B">
        <w:t> The cell reverts to the </w:t>
      </w:r>
      <w:r w:rsidRPr="007C255B">
        <w:rPr>
          <w:b/>
          <w:bCs/>
        </w:rPr>
        <w:t>Placozoan Default State</w:t>
      </w:r>
      <w:r w:rsidRPr="007C255B">
        <w:t>—Reductive Carboxylation. It stops burning (Oxidation) and starts accumulating (Accretion).</w:t>
      </w:r>
    </w:p>
    <w:p w14:paraId="3845501E" w14:textId="77777777" w:rsidR="007C255B" w:rsidRPr="007C255B" w:rsidRDefault="007C255B" w:rsidP="007C255B">
      <w:r w:rsidRPr="007C255B">
        <w:t>Cancer, therefore, is not a disease of chaos, but a disease of </w:t>
      </w:r>
      <w:r w:rsidRPr="007C255B">
        <w:rPr>
          <w:b/>
          <w:bCs/>
        </w:rPr>
        <w:t>Atavism</w:t>
      </w:r>
      <w:r w:rsidRPr="007C255B">
        <w:t>: a highly structured, predictable regression to the scalar metabolic state of our deepest ancestor.</w:t>
      </w:r>
    </w:p>
    <w:p w14:paraId="561F70FB" w14:textId="77777777" w:rsidR="007C255B" w:rsidRPr="007C255B" w:rsidRDefault="007C255B" w:rsidP="007C255B">
      <w:r w:rsidRPr="007C255B">
        <w:pict w14:anchorId="63E3DE23">
          <v:rect id="_x0000_i1031" style="width:0;height:.75pt" o:hralign="center" o:hrstd="t" o:hr="t" fillcolor="#a0a0a0" stroked="f"/>
        </w:pict>
      </w:r>
    </w:p>
    <w:p w14:paraId="0F3E1E1C" w14:textId="77777777" w:rsidR="007C255B" w:rsidRPr="007C255B" w:rsidRDefault="007C255B" w:rsidP="007C255B">
      <w:r w:rsidRPr="007C255B">
        <w:rPr>
          <w:b/>
          <w:bCs/>
        </w:rPr>
        <w:t>References</w:t>
      </w:r>
    </w:p>
    <w:p w14:paraId="5D15D23D" w14:textId="77777777" w:rsidR="007C255B" w:rsidRPr="007C255B" w:rsidRDefault="007C255B" w:rsidP="007C255B">
      <w:pPr>
        <w:numPr>
          <w:ilvl w:val="0"/>
          <w:numId w:val="2"/>
        </w:numPr>
      </w:pPr>
      <w:r w:rsidRPr="007C255B">
        <w:t>Levin, M. (2012). </w:t>
      </w:r>
      <w:r w:rsidRPr="007C255B">
        <w:rPr>
          <w:i/>
          <w:iCs/>
        </w:rPr>
        <w:t>Bioelectric mechanisms in regeneration and tumorigenesis</w:t>
      </w:r>
      <w:r w:rsidRPr="007C255B">
        <w:t>. Semin Cell Dev Biol.​</w:t>
      </w:r>
    </w:p>
    <w:p w14:paraId="292F6599" w14:textId="77777777" w:rsidR="007C255B" w:rsidRPr="007C255B" w:rsidRDefault="007C255B" w:rsidP="007C255B">
      <w:pPr>
        <w:numPr>
          <w:ilvl w:val="0"/>
          <w:numId w:val="2"/>
        </w:numPr>
      </w:pPr>
      <w:r w:rsidRPr="007C255B">
        <w:t>Binggeli, R. (1986). </w:t>
      </w:r>
      <w:r w:rsidRPr="007C255B">
        <w:rPr>
          <w:i/>
          <w:iCs/>
        </w:rPr>
        <w:t>Membrane potentials and sodium channels: Hypotheses for cellular carcinogenesis</w:t>
      </w:r>
      <w:r w:rsidRPr="007C255B">
        <w:t>. J Theor Biol.​</w:t>
      </w:r>
    </w:p>
    <w:p w14:paraId="1A596697" w14:textId="77777777" w:rsidR="007C255B" w:rsidRPr="007C255B" w:rsidRDefault="007C255B" w:rsidP="007C255B">
      <w:pPr>
        <w:numPr>
          <w:ilvl w:val="0"/>
          <w:numId w:val="2"/>
        </w:numPr>
      </w:pPr>
      <w:r w:rsidRPr="007C255B">
        <w:t>Aleshina, Y. A., et al. (2024). </w:t>
      </w:r>
      <w:r w:rsidRPr="007C255B">
        <w:rPr>
          <w:i/>
          <w:iCs/>
        </w:rPr>
        <w:t>Evolutionary changes in primate glutamate dehydrogenases</w:t>
      </w:r>
      <w:r w:rsidRPr="007C255B">
        <w:t>. Mol Biol Evol.​</w:t>
      </w:r>
    </w:p>
    <w:p w14:paraId="72C177AF" w14:textId="77777777" w:rsidR="007C255B" w:rsidRPr="007C255B" w:rsidRDefault="007C255B" w:rsidP="007C255B">
      <w:pPr>
        <w:numPr>
          <w:ilvl w:val="0"/>
          <w:numId w:val="2"/>
        </w:numPr>
      </w:pPr>
      <w:r w:rsidRPr="007C255B">
        <w:t>Nunoura, T., et al. (2018). </w:t>
      </w:r>
      <w:r w:rsidRPr="007C255B">
        <w:rPr>
          <w:i/>
          <w:iCs/>
        </w:rPr>
        <w:t>A primordial and reversible TCA cycle in a facultatively chemolithoautotrophic thermophile</w:t>
      </w:r>
      <w:r w:rsidRPr="007C255B">
        <w:t>. Science.​</w:t>
      </w:r>
    </w:p>
    <w:p w14:paraId="031963B2" w14:textId="77777777" w:rsidR="007C255B" w:rsidRPr="007C255B" w:rsidRDefault="007C255B" w:rsidP="007C255B">
      <w:pPr>
        <w:numPr>
          <w:ilvl w:val="0"/>
          <w:numId w:val="2"/>
        </w:numPr>
      </w:pPr>
      <w:r w:rsidRPr="007C255B">
        <w:t>Mullen, A. R., et al. (2011). </w:t>
      </w:r>
      <w:r w:rsidRPr="007C255B">
        <w:rPr>
          <w:i/>
          <w:iCs/>
        </w:rPr>
        <w:t>Reductive carboxylation supports growth in tumour cells with defective mitochondria</w:t>
      </w:r>
      <w:r w:rsidRPr="007C255B">
        <w:t>. Nature.​</w:t>
      </w:r>
    </w:p>
    <w:p w14:paraId="4ECC4F2D" w14:textId="77777777" w:rsidR="007C255B" w:rsidRDefault="007C255B"/>
    <w:sectPr w:rsidR="007C25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568"/>
    <w:multiLevelType w:val="multilevel"/>
    <w:tmpl w:val="38F2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8311F"/>
    <w:multiLevelType w:val="multilevel"/>
    <w:tmpl w:val="4A18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041116">
    <w:abstractNumId w:val="0"/>
  </w:num>
  <w:num w:numId="2" w16cid:durableId="29159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5B"/>
    <w:rsid w:val="007C255B"/>
    <w:rsid w:val="0090000B"/>
    <w:rsid w:val="00D8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6B72"/>
  <w15:chartTrackingRefBased/>
  <w15:docId w15:val="{A0430483-BF93-4DD3-AB03-4D68B6F7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25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25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25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25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25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25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25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25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25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25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25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25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25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25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25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25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25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25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25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2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25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25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25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25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C2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2927</Characters>
  <Application>Microsoft Office Word</Application>
  <DocSecurity>0</DocSecurity>
  <Lines>49</Lines>
  <Paragraphs>16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2</cp:revision>
  <dcterms:created xsi:type="dcterms:W3CDTF">2025-12-12T10:20:00Z</dcterms:created>
  <dcterms:modified xsi:type="dcterms:W3CDTF">2025-12-12T10:20:00Z</dcterms:modified>
</cp:coreProperties>
</file>