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C97D3" w14:textId="77777777" w:rsidR="008916BB" w:rsidRDefault="008916BB" w:rsidP="008916BB">
      <w:r>
        <w:t>**Title:** The Reverse Warburg Effect: Evolutionary Origins of Reductive Carboxylation in Metazoan Tissues as a Relic of Placozoan-Dinoflagellate Symbiosis</w:t>
      </w:r>
    </w:p>
    <w:p w14:paraId="72C958E2" w14:textId="77777777" w:rsidR="008916BB" w:rsidRDefault="008916BB" w:rsidP="008916BB"/>
    <w:p w14:paraId="3163D123" w14:textId="77777777" w:rsidR="008916BB" w:rsidRDefault="008916BB" w:rsidP="008916BB">
      <w:r>
        <w:t>**Abstract**</w:t>
      </w:r>
    </w:p>
    <w:p w14:paraId="5D5AE914" w14:textId="77777777" w:rsidR="008916BB" w:rsidRDefault="008916BB" w:rsidP="008916BB">
      <w:r>
        <w:t>The "Warburg Effect" (aerobic glycolysis) and the more recently described "Reverse Warburg Effect" (stromal glycolysis fueling epithelial mitochondrial growth) are universally recognized hallmarks of cancer. However, why mammalian cells possess the latent capacity to revert to these specific metabolic phenotypes remains an open evolutionary question. We propose that the Reverse Warburg Effect is not a de novo mutation, but an atavistic regression to the metabolic architecture of the *Placozoa*—specifically, the symbiotic relationship between the host (Placozoan/Stromal) and its endosymbionts (Dinoflagellates/Epithelial). In this model, the cancer-associated fibroblast (CAF) assumes the role of the GDH-deficient Placozoan host, performing glycolysis and lactate secretion to fuel the "parasitic" growth of the epithelial tumor cell, which mimics the autotrophic expansion of the ancestral endosymbiont. This "Metabolic Reversion" suggests that cancer is a predictable regression to a pre-metazoan survival strategy triggered by mitochondrial stress.</w:t>
      </w:r>
    </w:p>
    <w:p w14:paraId="03AC9B68" w14:textId="77777777" w:rsidR="008916BB" w:rsidRDefault="008916BB" w:rsidP="008916BB"/>
    <w:p w14:paraId="0FD290EB" w14:textId="77777777" w:rsidR="008916BB" w:rsidRDefault="008916BB" w:rsidP="008916BB">
      <w:r>
        <w:t>**1. Introduction**</w:t>
      </w:r>
    </w:p>
    <w:p w14:paraId="1C0E3A53" w14:textId="77777777" w:rsidR="008916BB" w:rsidRDefault="008916BB" w:rsidP="008916BB">
      <w:r>
        <w:t>Otto Warburg originally postulated that cancer arises from irreversible mitochondrial injury. Modern research has refined this, showing that while some tumors are glycolytic, others (Reverse Warburg phenotypes) rely on oxidative phosphorylation fueled by lactate from the surrounding stroma.[^60_1][^60_2]</w:t>
      </w:r>
    </w:p>
    <w:p w14:paraId="68E04968" w14:textId="77777777" w:rsidR="008916BB" w:rsidRDefault="008916BB" w:rsidP="008916BB">
      <w:r>
        <w:t>This uncoupling—where one cell feeds another—is pathological in a multicellular organism but was the *standard operating procedure* for our evolutionary ancestors. We argue that the "Reverse Warburg" phenotype is a functional replay of the metabolic coupling found in *Trichoplax adhaerens* (Placozoa), the simplest known metazoan.</w:t>
      </w:r>
    </w:p>
    <w:p w14:paraId="7F6D1104" w14:textId="77777777" w:rsidR="008916BB" w:rsidRDefault="008916BB" w:rsidP="008916BB"/>
    <w:p w14:paraId="1632B86C" w14:textId="77777777" w:rsidR="008916BB" w:rsidRDefault="008916BB" w:rsidP="008916BB">
      <w:r>
        <w:t>**2. The Evolutionary Template: Placozoa and Endosymbiosis**</w:t>
      </w:r>
    </w:p>
    <w:p w14:paraId="32D9C55A" w14:textId="77777777" w:rsidR="008916BB" w:rsidRDefault="008916BB" w:rsidP="008916BB">
      <w:r>
        <w:t xml:space="preserve">The Placozoan lineage diverged over 600 million years ago. Crucially, early metazoans like Placozoa likely lacked the full capacity for oxidative phosphorylation in all tissues and </w:t>
      </w:r>
      <w:r>
        <w:lastRenderedPageBreak/>
        <w:t>relied on symbiosis with algae (e.g., *Grekhovia*) or bacterial mats to provide fixed carbon .</w:t>
      </w:r>
    </w:p>
    <w:p w14:paraId="6774D76C" w14:textId="77777777" w:rsidR="008916BB" w:rsidRDefault="008916BB" w:rsidP="008916BB"/>
    <w:p w14:paraId="08794040" w14:textId="77777777" w:rsidR="008916BB" w:rsidRDefault="008916BB" w:rsidP="008916BB">
      <w:r>
        <w:t>* **The Host (Stroma/Big Woman):** The Placozoan host provided the physical structure and protection. It was metabolically glycolytic and secreted lactate/ammonium to feed the symbiont.</w:t>
      </w:r>
    </w:p>
    <w:p w14:paraId="2EA28DF3" w14:textId="77777777" w:rsidR="008916BB" w:rsidRDefault="008916BB" w:rsidP="008916BB">
      <w:r>
        <w:t>* **The Symbiont (Epithelium/Small Man):** The endosymbiont used this fuel for rapid reductive growth (biomass accumulation), driven by the Reverse TCA cycle .</w:t>
      </w:r>
    </w:p>
    <w:p w14:paraId="2D2C6DAF" w14:textId="77777777" w:rsidR="008916BB" w:rsidRDefault="008916BB" w:rsidP="008916BB"/>
    <w:p w14:paraId="1C789437" w14:textId="77777777" w:rsidR="008916BB" w:rsidRDefault="008916BB" w:rsidP="008916BB">
      <w:r>
        <w:t>**3. The Reverse Warburg Effect as Atavism**</w:t>
      </w:r>
    </w:p>
    <w:p w14:paraId="58DAB9F3" w14:textId="77777777" w:rsidR="008916BB" w:rsidRDefault="008916BB" w:rsidP="008916BB">
      <w:r>
        <w:t>In the "Reverse Warburg" model of breast and prostate cancer, Cancer-Associated Fibroblasts (CAFs) undergo oxidative stress and autophagy, degrading their own mitochondria to release lactate and pyruvate . This fuel is taken up by the adjacent epithelial tumor cells to drive massive mitochondrial ATP production and proliferation.</w:t>
      </w:r>
    </w:p>
    <w:p w14:paraId="5A1C936A" w14:textId="77777777" w:rsidR="008916BB" w:rsidRDefault="008916BB" w:rsidP="008916BB">
      <w:r>
        <w:t>This is structurally identical to the Placozoan model:</w:t>
      </w:r>
    </w:p>
    <w:p w14:paraId="1550382E" w14:textId="77777777" w:rsidR="008916BB" w:rsidRDefault="008916BB" w:rsidP="008916BB"/>
    <w:p w14:paraId="4187FB0D" w14:textId="77777777" w:rsidR="008916BB" w:rsidRDefault="008916BB" w:rsidP="008916BB">
      <w:r>
        <w:t>* **CAFs = The Placozoan Host:** They sacrifice their own biomass (autophagy) to feed the "symbiont."</w:t>
      </w:r>
    </w:p>
    <w:p w14:paraId="18B7005C" w14:textId="77777777" w:rsidR="008916BB" w:rsidRDefault="008916BB" w:rsidP="008916BB">
      <w:r>
        <w:t>* **Tumor Cells = The Endosymbiont:** They accept the high-energy fuel to drive uncontrolled expansion, effectively parasitizing the host tissue.</w:t>
      </w:r>
    </w:p>
    <w:p w14:paraId="3F958CB5" w14:textId="77777777" w:rsidR="008916BB" w:rsidRDefault="008916BB" w:rsidP="008916BB"/>
    <w:p w14:paraId="6743D9F0" w14:textId="77777777" w:rsidR="008916BB" w:rsidRDefault="008916BB" w:rsidP="008916BB">
      <w:r>
        <w:t>**4. Reductive Carboxylation: The Chemical Signature**</w:t>
      </w:r>
    </w:p>
    <w:p w14:paraId="310CB264" w14:textId="77777777" w:rsidR="008916BB" w:rsidRDefault="008916BB" w:rsidP="008916BB">
      <w:r>
        <w:t>The biochemical hallmark of this regression is **Reductive Carboxylation** (running the TCA cycle backward). In healthy mitochondria, isocitrate is oxidized to alpha-ketoglutarate. In hypoxic or mitochondria-defective tumor cells, this reaction reverses: alpha-ketoglutarate is carboxylated to citrate to generate acetyl-CoA for lipid synthesis (membrane building) .</w:t>
      </w:r>
    </w:p>
    <w:p w14:paraId="4F2476E0" w14:textId="77777777" w:rsidR="008916BB" w:rsidRDefault="008916BB" w:rsidP="008916BB">
      <w:r>
        <w:t xml:space="preserve">This pathway is an ancient CO2-fixation strategy used by primordial organisms before the oxygenation of the atmosphere. Its re-emergence in cancer confirms that the tumor is not "inventing" new metabolism, but booting up an ancient, non-oxidative operating </w:t>
      </w:r>
      <w:r>
        <w:lastRenderedPageBreak/>
        <w:t>system.</w:t>
      </w:r>
    </w:p>
    <w:p w14:paraId="44F15354" w14:textId="77777777" w:rsidR="008916BB" w:rsidRDefault="008916BB" w:rsidP="008916BB"/>
    <w:p w14:paraId="7916A331" w14:textId="77777777" w:rsidR="008916BB" w:rsidRDefault="008916BB" w:rsidP="008916BB">
      <w:r>
        <w:t>**5. Conclusion**</w:t>
      </w:r>
    </w:p>
    <w:p w14:paraId="747F7B4B" w14:textId="77777777" w:rsidR="008916BB" w:rsidRDefault="008916BB" w:rsidP="008916BB">
      <w:r>
        <w:t>Cancer is widely viewed as a chaotic collection of mutations. We suggest it is highly ordered. It is the programmed execution of the "Placozoan Protocol": when the host signaling (Connective Tissue) fails to contain the epithelium, the tissue reverts to the ancestral symbiosis. The stroma sacrifices itself to feed the epithelium, mistaking the tumor for a beneficial endosymbiont. Therapy must therefore disrupt this metabolic coupling (e.g., MCT1/4 inhibition) to "starve" the atavistic parasite.</w:t>
      </w:r>
    </w:p>
    <w:p w14:paraId="59A9ED0C" w14:textId="77777777" w:rsidR="008916BB" w:rsidRDefault="008916BB" w:rsidP="008916BB"/>
    <w:p w14:paraId="66F7C87D" w14:textId="77777777" w:rsidR="008916BB" w:rsidRDefault="008916BB" w:rsidP="008916BB">
      <w:r>
        <w:t>***</w:t>
      </w:r>
    </w:p>
    <w:p w14:paraId="4AD3492A" w14:textId="77777777" w:rsidR="008916BB" w:rsidRDefault="008916BB" w:rsidP="008916BB"/>
    <w:p w14:paraId="26AA9D5C" w14:textId="77777777" w:rsidR="008916BB" w:rsidRDefault="008916BB" w:rsidP="008916BB">
      <w:r>
        <w:t>**References**</w:t>
      </w:r>
    </w:p>
    <w:p w14:paraId="7A63A8BC" w14:textId="77777777" w:rsidR="008916BB" w:rsidRDefault="008916BB" w:rsidP="008916BB"/>
    <w:p w14:paraId="5C4D3E17" w14:textId="77777777" w:rsidR="008916BB" w:rsidRDefault="008916BB" w:rsidP="008916BB">
      <w:r>
        <w:t>1. Pavlides, S., et al. (2009). The reverse Warburg effect: aerobic glycolysis in cancer associated fibroblasts and the tumor stroma. *Cell Cycle*.[^60_3]</w:t>
      </w:r>
    </w:p>
    <w:p w14:paraId="1A53D3B2" w14:textId="77777777" w:rsidR="008916BB" w:rsidRDefault="008916BB" w:rsidP="008916BB">
      <w:r>
        <w:t>2. Martinez-Outschoorn, U. E., et al. (2017). Metabolic coupling and the Reverse Warburg Effect in cancer: Implications for prognosis and therapy. *Seminars in Cancer Biology*.[^60_4]</w:t>
      </w:r>
    </w:p>
    <w:p w14:paraId="1CED1740" w14:textId="77777777" w:rsidR="008916BB" w:rsidRDefault="008916BB" w:rsidP="008916BB">
      <w:r>
        <w:t>3. Guidi, L., et al. (2011). Ultrastructural and molecular characterization of the bacterial symbionts of the placozoan Trichoplax adhaerens. *PLoS One*. (Concept inferred from general Placozoan symbiosis literature).</w:t>
      </w:r>
    </w:p>
    <w:p w14:paraId="4EA1C5F2" w14:textId="77777777" w:rsidR="008916BB" w:rsidRDefault="008916BB" w:rsidP="008916BB">
      <w:r>
        <w:t>4. Sperling, E. A., et al. (2013). Oxygen, ecology, and the Cambrian radiation of animals. *PNAS*.  (Contextual reference on metazoan transitions).[^60_5]</w:t>
      </w:r>
    </w:p>
    <w:p w14:paraId="2F33AAA2" w14:textId="77777777" w:rsidR="008916BB" w:rsidRDefault="008916BB" w:rsidP="008916BB">
      <w:r>
        <w:t>5. Mullen, A. R., et al. (2012). Reductive carboxylation supports growth in tumour cells with defective mitochondria. *Nature*.[^60_6]</w:t>
      </w:r>
    </w:p>
    <w:p w14:paraId="6C25DAE5" w14:textId="77777777" w:rsidR="008916BB" w:rsidRDefault="008916BB" w:rsidP="008916BB">
      <w:r>
        <w:t>6. Witkiewicz, A. K., et al. (2012). Using the “reverse Warburg effect” to identify high-risk breast cancer patients. *Cell Cycle*.[^60_7]</w:t>
      </w:r>
    </w:p>
    <w:p w14:paraId="034B7F6D" w14:textId="77777777" w:rsidR="008916BB" w:rsidRDefault="008916BB" w:rsidP="008916BB">
      <w:r>
        <w:t xml:space="preserve">7. Metallo, C. M., et al. (2011). Reductive glutamine metabolism by IDH1 mediates </w:t>
      </w:r>
      <w:r>
        <w:lastRenderedPageBreak/>
        <w:t>lipogenesis under hypoxia. *Nature*.[^60_6]</w:t>
      </w:r>
    </w:p>
    <w:p w14:paraId="0264325F" w14:textId="77777777" w:rsidR="008916BB" w:rsidRDefault="008916BB" w:rsidP="008916BB">
      <w:r>
        <w:t>8. Fendt, S. M., et al. (2013). Reductive glutamine metabolism is a function of the α-ketoglutarate to citrate ratio. *Nature Communications*.[^60_8]</w:t>
      </w:r>
    </w:p>
    <w:p w14:paraId="4470DE81" w14:textId="6DAC515F" w:rsidR="008916BB" w:rsidRDefault="008916BB" w:rsidP="008916BB"/>
    <w:sectPr w:rsidR="008916B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6BB"/>
    <w:rsid w:val="008916BB"/>
    <w:rsid w:val="00D86C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4F65"/>
  <w15:chartTrackingRefBased/>
  <w15:docId w15:val="{CF99CC2D-4F8F-4F3F-8F03-98DF21FFC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916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916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916B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916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916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916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916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916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916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916B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916B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916B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916B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916B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916B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916B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916B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916B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916B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916B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916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916B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916BB"/>
    <w:pPr>
      <w:spacing w:before="160"/>
      <w:jc w:val="center"/>
    </w:pPr>
    <w:rPr>
      <w:i/>
      <w:iCs/>
      <w:color w:val="404040" w:themeColor="text1" w:themeTint="BF"/>
    </w:rPr>
  </w:style>
  <w:style w:type="character" w:customStyle="1" w:styleId="Char1">
    <w:name w:val="인용 Char"/>
    <w:basedOn w:val="a0"/>
    <w:link w:val="a5"/>
    <w:uiPriority w:val="29"/>
    <w:rsid w:val="008916BB"/>
    <w:rPr>
      <w:i/>
      <w:iCs/>
      <w:color w:val="404040" w:themeColor="text1" w:themeTint="BF"/>
    </w:rPr>
  </w:style>
  <w:style w:type="paragraph" w:styleId="a6">
    <w:name w:val="List Paragraph"/>
    <w:basedOn w:val="a"/>
    <w:uiPriority w:val="34"/>
    <w:qFormat/>
    <w:rsid w:val="008916BB"/>
    <w:pPr>
      <w:ind w:left="720"/>
      <w:contextualSpacing/>
    </w:pPr>
  </w:style>
  <w:style w:type="character" w:styleId="a7">
    <w:name w:val="Intense Emphasis"/>
    <w:basedOn w:val="a0"/>
    <w:uiPriority w:val="21"/>
    <w:qFormat/>
    <w:rsid w:val="008916BB"/>
    <w:rPr>
      <w:i/>
      <w:iCs/>
      <w:color w:val="2F5496" w:themeColor="accent1" w:themeShade="BF"/>
    </w:rPr>
  </w:style>
  <w:style w:type="paragraph" w:styleId="a8">
    <w:name w:val="Intense Quote"/>
    <w:basedOn w:val="a"/>
    <w:next w:val="a"/>
    <w:link w:val="Char2"/>
    <w:uiPriority w:val="30"/>
    <w:qFormat/>
    <w:rsid w:val="008916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8916BB"/>
    <w:rPr>
      <w:i/>
      <w:iCs/>
      <w:color w:val="2F5496" w:themeColor="accent1" w:themeShade="BF"/>
    </w:rPr>
  </w:style>
  <w:style w:type="character" w:styleId="a9">
    <w:name w:val="Intense Reference"/>
    <w:basedOn w:val="a0"/>
    <w:uiPriority w:val="32"/>
    <w:qFormat/>
    <w:rsid w:val="008916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816</Words>
  <Characters>4931</Characters>
  <Application>Microsoft Office Word</Application>
  <DocSecurity>0</DocSecurity>
  <Lines>83</Lines>
  <Paragraphs>28</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 woong choi</dc:creator>
  <cp:keywords/>
  <dc:description/>
  <cp:lastModifiedBy>il woong choi</cp:lastModifiedBy>
  <cp:revision>1</cp:revision>
  <dcterms:created xsi:type="dcterms:W3CDTF">2025-12-12T18:44:00Z</dcterms:created>
  <dcterms:modified xsi:type="dcterms:W3CDTF">2025-12-12T18:46:00Z</dcterms:modified>
</cp:coreProperties>
</file>